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318" w:rsidRPr="009B2C95" w:rsidRDefault="00970318" w:rsidP="00C41CB4">
      <w:pPr>
        <w:pStyle w:val="Corpotesto"/>
        <w:spacing w:line="276" w:lineRule="auto"/>
        <w:ind w:right="-57"/>
        <w:jc w:val="center"/>
        <w:rPr>
          <w:szCs w:val="24"/>
        </w:rPr>
      </w:pPr>
      <w:r w:rsidRPr="009B2C95">
        <w:rPr>
          <w:szCs w:val="24"/>
        </w:rPr>
        <w:t xml:space="preserve">Verbale n. </w:t>
      </w:r>
      <w:r w:rsidR="00EC0890">
        <w:rPr>
          <w:szCs w:val="24"/>
        </w:rPr>
        <w:t>1</w:t>
      </w:r>
      <w:r w:rsidR="00304713">
        <w:rPr>
          <w:szCs w:val="24"/>
        </w:rPr>
        <w:t>6</w:t>
      </w:r>
    </w:p>
    <w:p w:rsidR="00970318" w:rsidRPr="009B2C95" w:rsidRDefault="00970318" w:rsidP="00C41CB4">
      <w:pPr>
        <w:pStyle w:val="Corpotesto"/>
        <w:spacing w:line="276" w:lineRule="auto"/>
        <w:ind w:right="-57"/>
        <w:jc w:val="center"/>
        <w:rPr>
          <w:szCs w:val="24"/>
        </w:rPr>
      </w:pPr>
      <w:proofErr w:type="spellStart"/>
      <w:r w:rsidRPr="009B2C95">
        <w:rPr>
          <w:szCs w:val="24"/>
        </w:rPr>
        <w:t>a.s.</w:t>
      </w:r>
      <w:proofErr w:type="spellEnd"/>
      <w:r w:rsidRPr="009B2C95">
        <w:rPr>
          <w:szCs w:val="24"/>
        </w:rPr>
        <w:t xml:space="preserve"> 201</w:t>
      </w:r>
      <w:r>
        <w:rPr>
          <w:szCs w:val="24"/>
        </w:rPr>
        <w:t>8</w:t>
      </w:r>
      <w:r w:rsidRPr="009B2C95">
        <w:rPr>
          <w:szCs w:val="24"/>
        </w:rPr>
        <w:t>/201</w:t>
      </w:r>
      <w:r>
        <w:rPr>
          <w:szCs w:val="24"/>
        </w:rPr>
        <w:t>9</w:t>
      </w:r>
    </w:p>
    <w:p w:rsidR="00970318" w:rsidRPr="009B2C95" w:rsidRDefault="00970318" w:rsidP="00C41CB4">
      <w:pPr>
        <w:pStyle w:val="Corpotesto"/>
        <w:spacing w:line="276" w:lineRule="auto"/>
        <w:ind w:right="-57"/>
        <w:jc w:val="center"/>
        <w:rPr>
          <w:szCs w:val="24"/>
        </w:rPr>
      </w:pPr>
    </w:p>
    <w:p w:rsidR="00970318" w:rsidRDefault="00970318" w:rsidP="00C41CB4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Il giorno </w:t>
      </w:r>
      <w:r w:rsidR="00304713">
        <w:rPr>
          <w:b w:val="0"/>
          <w:szCs w:val="24"/>
        </w:rPr>
        <w:t>29</w:t>
      </w:r>
      <w:r w:rsidRPr="009B2C95">
        <w:rPr>
          <w:b w:val="0"/>
          <w:szCs w:val="24"/>
        </w:rPr>
        <w:t xml:space="preserve"> del mese di </w:t>
      </w:r>
      <w:r w:rsidR="00304713">
        <w:rPr>
          <w:b w:val="0"/>
          <w:szCs w:val="24"/>
        </w:rPr>
        <w:t>aprile</w:t>
      </w:r>
      <w:r w:rsidR="00527CF4">
        <w:rPr>
          <w:b w:val="0"/>
          <w:szCs w:val="24"/>
        </w:rPr>
        <w:t xml:space="preserve"> 2019</w:t>
      </w:r>
      <w:r w:rsidRPr="009B2C95">
        <w:rPr>
          <w:b w:val="0"/>
          <w:szCs w:val="24"/>
        </w:rPr>
        <w:t xml:space="preserve"> alle ore </w:t>
      </w:r>
      <w:r w:rsidR="00666A78">
        <w:rPr>
          <w:b w:val="0"/>
          <w:szCs w:val="24"/>
        </w:rPr>
        <w:t>17.00</w:t>
      </w:r>
      <w:r w:rsidR="00304713">
        <w:rPr>
          <w:b w:val="0"/>
          <w:szCs w:val="24"/>
        </w:rPr>
        <w:t xml:space="preserve"> </w:t>
      </w:r>
      <w:r w:rsidR="005E71F1">
        <w:rPr>
          <w:b w:val="0"/>
          <w:szCs w:val="24"/>
        </w:rPr>
        <w:t>si riunisce</w:t>
      </w:r>
      <w:r w:rsidRPr="009B2C95">
        <w:rPr>
          <w:b w:val="0"/>
          <w:szCs w:val="24"/>
        </w:rPr>
        <w:t xml:space="preserve"> su convocazione </w:t>
      </w:r>
      <w:r>
        <w:rPr>
          <w:b w:val="0"/>
          <w:szCs w:val="24"/>
        </w:rPr>
        <w:t xml:space="preserve">del </w:t>
      </w:r>
      <w:r w:rsidR="008111D7">
        <w:rPr>
          <w:b w:val="0"/>
          <w:szCs w:val="24"/>
        </w:rPr>
        <w:t>Presidente</w:t>
      </w:r>
      <w:r w:rsidR="00304713">
        <w:rPr>
          <w:b w:val="0"/>
          <w:szCs w:val="24"/>
        </w:rPr>
        <w:t xml:space="preserve"> </w:t>
      </w:r>
      <w:proofErr w:type="spellStart"/>
      <w:r w:rsidRPr="000855E6">
        <w:rPr>
          <w:b w:val="0"/>
          <w:szCs w:val="24"/>
        </w:rPr>
        <w:t>prot</w:t>
      </w:r>
      <w:proofErr w:type="spellEnd"/>
      <w:r w:rsidRPr="000855E6">
        <w:rPr>
          <w:b w:val="0"/>
          <w:szCs w:val="24"/>
        </w:rPr>
        <w:t xml:space="preserve">. </w:t>
      </w:r>
      <w:r w:rsidR="00304713">
        <w:rPr>
          <w:b w:val="0"/>
          <w:szCs w:val="24"/>
        </w:rPr>
        <w:t>2995</w:t>
      </w:r>
      <w:r w:rsidRPr="000855E6">
        <w:rPr>
          <w:b w:val="0"/>
          <w:szCs w:val="24"/>
        </w:rPr>
        <w:t xml:space="preserve">/II.1 </w:t>
      </w:r>
      <w:r w:rsidR="00304713">
        <w:rPr>
          <w:b w:val="0"/>
          <w:szCs w:val="24"/>
        </w:rPr>
        <w:t>del 23/04/</w:t>
      </w:r>
      <w:proofErr w:type="gramStart"/>
      <w:r w:rsidR="00527CF4">
        <w:rPr>
          <w:b w:val="0"/>
          <w:szCs w:val="24"/>
        </w:rPr>
        <w:t>2019</w:t>
      </w:r>
      <w:r w:rsidR="00075F44">
        <w:rPr>
          <w:b w:val="0"/>
          <w:szCs w:val="24"/>
        </w:rPr>
        <w:t>,</w:t>
      </w:r>
      <w:r>
        <w:rPr>
          <w:b w:val="0"/>
          <w:szCs w:val="24"/>
        </w:rPr>
        <w:t>nell’aula</w:t>
      </w:r>
      <w:proofErr w:type="gramEnd"/>
      <w:r>
        <w:rPr>
          <w:b w:val="0"/>
          <w:szCs w:val="24"/>
        </w:rPr>
        <w:t xml:space="preserve"> di Presidenza</w:t>
      </w:r>
      <w:r w:rsidRPr="009B2C95">
        <w:rPr>
          <w:b w:val="0"/>
          <w:szCs w:val="24"/>
        </w:rPr>
        <w:t xml:space="preserve"> della sede </w:t>
      </w:r>
      <w:r>
        <w:rPr>
          <w:b w:val="0"/>
          <w:szCs w:val="24"/>
        </w:rPr>
        <w:t>centrale</w:t>
      </w:r>
      <w:r w:rsidRPr="009B2C95">
        <w:rPr>
          <w:b w:val="0"/>
          <w:szCs w:val="24"/>
        </w:rPr>
        <w:t xml:space="preserve"> il Consiglio d'Istituto del Liceo Artistico e Coreutico Ciardo Pellegrino di Lecce per discutere il seguente </w:t>
      </w:r>
      <w:proofErr w:type="spellStart"/>
      <w:r w:rsidRPr="009B2C95">
        <w:rPr>
          <w:b w:val="0"/>
          <w:szCs w:val="24"/>
        </w:rPr>
        <w:t>o.d.g</w:t>
      </w:r>
      <w:proofErr w:type="spellEnd"/>
      <w:r w:rsidRPr="009B2C95">
        <w:rPr>
          <w:b w:val="0"/>
          <w:szCs w:val="24"/>
        </w:rPr>
        <w:t>:</w:t>
      </w:r>
    </w:p>
    <w:p w:rsidR="00C64137" w:rsidRDefault="00C64137" w:rsidP="00C64137">
      <w:pPr>
        <w:pStyle w:val="Default"/>
      </w:pP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Lettura e approvazione verbale seduta precedente; </w:t>
      </w:r>
    </w:p>
    <w:p w:rsidR="00C64137" w:rsidRPr="00C64137" w:rsidRDefault="00304713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>
        <w:rPr>
          <w:color w:val="auto"/>
        </w:rPr>
        <w:t>Approvazione Conto Consuntivo E.F. 2018</w:t>
      </w:r>
      <w:r w:rsidR="00C64137" w:rsidRPr="00C64137">
        <w:rPr>
          <w:color w:val="auto"/>
        </w:rPr>
        <w:t xml:space="preserve">; </w:t>
      </w:r>
    </w:p>
    <w:p w:rsidR="00666A78" w:rsidRDefault="00304713" w:rsidP="00304713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>
        <w:rPr>
          <w:color w:val="auto"/>
        </w:rPr>
        <w:t>Acquisizione nel P.A. 2019 del PON</w:t>
      </w:r>
      <w:r w:rsidR="00666A78">
        <w:rPr>
          <w:color w:val="auto"/>
        </w:rPr>
        <w:t>;</w:t>
      </w:r>
    </w:p>
    <w:p w:rsidR="00C64137" w:rsidRPr="00C64137" w:rsidRDefault="00666A78" w:rsidP="00304713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AA0090">
        <w:t xml:space="preserve">Criteri di reclutamento esperti </w:t>
      </w:r>
      <w:r>
        <w:t xml:space="preserve">madrelingua </w:t>
      </w:r>
      <w:r>
        <w:rPr>
          <w:color w:val="auto"/>
        </w:rPr>
        <w:t>e di affidamento servizi mobilità Irlanda</w:t>
      </w:r>
      <w:r w:rsidRPr="00AA0090">
        <w:t xml:space="preserve"> nel Progetto </w:t>
      </w:r>
      <w:r w:rsidRPr="00766D72">
        <w:rPr>
          <w:color w:val="auto"/>
        </w:rPr>
        <w:t>10.2.3C-FSEPON-PU-2018-</w:t>
      </w:r>
      <w:proofErr w:type="gramStart"/>
      <w:r w:rsidRPr="00766D72">
        <w:rPr>
          <w:color w:val="auto"/>
        </w:rPr>
        <w:t>78  '</w:t>
      </w:r>
      <w:proofErr w:type="spellStart"/>
      <w:proofErr w:type="gramEnd"/>
      <w:r w:rsidRPr="00766D72">
        <w:rPr>
          <w:color w:val="auto"/>
        </w:rPr>
        <w:t>Abroad</w:t>
      </w:r>
      <w:proofErr w:type="spellEnd"/>
      <w:r w:rsidRPr="00766D72">
        <w:rPr>
          <w:color w:val="auto"/>
        </w:rPr>
        <w:t xml:space="preserve"> English'</w:t>
      </w:r>
      <w:r>
        <w:rPr>
          <w:color w:val="auto"/>
        </w:rPr>
        <w:t>;</w:t>
      </w:r>
      <w:r w:rsidR="00304713">
        <w:rPr>
          <w:color w:val="auto"/>
        </w:rPr>
        <w:t xml:space="preserve"> </w:t>
      </w:r>
    </w:p>
    <w:p w:rsidR="00C64137" w:rsidRPr="00C64137" w:rsidRDefault="00304713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>
        <w:rPr>
          <w:color w:val="auto"/>
        </w:rPr>
        <w:t xml:space="preserve">Contributi scolastici per </w:t>
      </w:r>
      <w:proofErr w:type="spellStart"/>
      <w:r>
        <w:rPr>
          <w:color w:val="auto"/>
        </w:rPr>
        <w:t>l’a.s.</w:t>
      </w:r>
      <w:proofErr w:type="spellEnd"/>
      <w:r>
        <w:rPr>
          <w:color w:val="auto"/>
        </w:rPr>
        <w:t xml:space="preserve"> 2019/2020</w:t>
      </w:r>
      <w:r w:rsidR="00C64137" w:rsidRPr="00C64137">
        <w:rPr>
          <w:color w:val="auto"/>
        </w:rPr>
        <w:t xml:space="preserve">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Comunicazioni del Dirigente. </w:t>
      </w:r>
    </w:p>
    <w:p w:rsidR="00C64137" w:rsidRDefault="00C64137" w:rsidP="00C41CB4">
      <w:pPr>
        <w:spacing w:line="276" w:lineRule="auto"/>
        <w:rPr>
          <w:b w:val="0"/>
          <w:szCs w:val="24"/>
        </w:rPr>
      </w:pPr>
    </w:p>
    <w:p w:rsidR="00970318" w:rsidRPr="009B2C95" w:rsidRDefault="00970318" w:rsidP="00C41CB4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 / A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E43E5B" w:rsidRDefault="00155E31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C64137">
              <w:rPr>
                <w:b w:val="0"/>
                <w:szCs w:val="24"/>
              </w:rPr>
              <w:t>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C64137">
            <w:r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155E31">
            <w:r>
              <w:rPr>
                <w:b w:val="0"/>
                <w:szCs w:val="24"/>
              </w:rPr>
              <w:t>As</w:t>
            </w:r>
            <w:r w:rsidR="00C64137" w:rsidRPr="00C1375D">
              <w:rPr>
                <w:b w:val="0"/>
                <w:szCs w:val="24"/>
              </w:rPr>
              <w:t>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155E31">
            <w:r>
              <w:rPr>
                <w:b w:val="0"/>
                <w:szCs w:val="24"/>
              </w:rPr>
              <w:t>Pres</w:t>
            </w:r>
            <w:r w:rsidR="00C64137" w:rsidRPr="00C1375D">
              <w:rPr>
                <w:b w:val="0"/>
                <w:szCs w:val="24"/>
              </w:rPr>
              <w:t>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TRICARICO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155E31">
            <w:r>
              <w:rPr>
                <w:b w:val="0"/>
                <w:szCs w:val="24"/>
              </w:rPr>
              <w:t>As</w:t>
            </w:r>
            <w:r w:rsidR="00F33F14" w:rsidRPr="00C1375D">
              <w:rPr>
                <w:b w:val="0"/>
                <w:szCs w:val="24"/>
              </w:rPr>
              <w:t>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6318FB">
            <w:r w:rsidRPr="006318FB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>Personale  ATA</w:t>
            </w:r>
            <w:proofErr w:type="gramEnd"/>
            <w:r w:rsidRPr="009B2C95">
              <w:rPr>
                <w:b w:val="0"/>
                <w:szCs w:val="24"/>
              </w:rPr>
              <w:t>(</w:t>
            </w:r>
            <w:proofErr w:type="spellStart"/>
            <w:r w:rsidRPr="009B2C95">
              <w:rPr>
                <w:b w:val="0"/>
                <w:szCs w:val="24"/>
              </w:rPr>
              <w:t>Ass.Tecn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C64137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970318" w:rsidRPr="009B2C95">
              <w:rPr>
                <w:b w:val="0"/>
                <w:szCs w:val="24"/>
              </w:rPr>
              <w:t>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            (</w:t>
            </w:r>
            <w:proofErr w:type="spellStart"/>
            <w:r w:rsidRPr="009B2C95">
              <w:rPr>
                <w:b w:val="0"/>
                <w:szCs w:val="24"/>
              </w:rPr>
              <w:t>Ass</w:t>
            </w:r>
            <w:proofErr w:type="spellEnd"/>
            <w:r w:rsidRPr="009B2C95">
              <w:rPr>
                <w:b w:val="0"/>
                <w:szCs w:val="24"/>
              </w:rPr>
              <w:t xml:space="preserve">. </w:t>
            </w:r>
            <w:proofErr w:type="spellStart"/>
            <w:r w:rsidRPr="009B2C95">
              <w:rPr>
                <w:b w:val="0"/>
                <w:szCs w:val="24"/>
              </w:rPr>
              <w:t>Amm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155E31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970318">
              <w:rPr>
                <w:b w:val="0"/>
                <w:szCs w:val="24"/>
              </w:rPr>
              <w:t>s</w:t>
            </w:r>
            <w:r w:rsidR="00970318" w:rsidRPr="009B2C95">
              <w:rPr>
                <w:b w:val="0"/>
                <w:szCs w:val="24"/>
              </w:rPr>
              <w:t>ente</w:t>
            </w:r>
          </w:p>
        </w:tc>
      </w:tr>
      <w:tr w:rsidR="00970318" w:rsidRPr="009B2C95" w:rsidTr="00970318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155E31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527CF4">
              <w:rPr>
                <w:b w:val="0"/>
                <w:szCs w:val="24"/>
              </w:rPr>
              <w:t>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EC0890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EC0890" w:rsidP="00EE3B87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CROCE </w:t>
            </w:r>
            <w:r w:rsidR="00EE3B87">
              <w:rPr>
                <w:b w:val="0"/>
                <w:szCs w:val="24"/>
              </w:rPr>
              <w:t>ANDREA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155E31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C64137">
              <w:rPr>
                <w:b w:val="0"/>
                <w:szCs w:val="24"/>
              </w:rPr>
              <w:t>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BALENA RICCARDO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Alunno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64137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527CF4">
              <w:rPr>
                <w:b w:val="0"/>
                <w:szCs w:val="24"/>
              </w:rPr>
              <w:t>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PELLE’ CARLO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C86DCE">
              <w:rPr>
                <w:b w:val="0"/>
                <w:szCs w:val="24"/>
              </w:rPr>
              <w:t>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CONVERSANO VALERIA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Default="00527CF4" w:rsidP="00C41CB4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MARCIANTE GIACOMO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Default="00C86DCE" w:rsidP="00C41CB4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</w:tbl>
    <w:p w:rsidR="00970318" w:rsidRPr="009B2C95" w:rsidRDefault="00970318" w:rsidP="00C41CB4">
      <w:pPr>
        <w:spacing w:line="276" w:lineRule="auto"/>
        <w:rPr>
          <w:b w:val="0"/>
          <w:szCs w:val="24"/>
        </w:rPr>
      </w:pPr>
    </w:p>
    <w:p w:rsidR="00970318" w:rsidRPr="00527CF4" w:rsidRDefault="00970318" w:rsidP="00C41CB4">
      <w:pPr>
        <w:spacing w:line="276" w:lineRule="auto"/>
        <w:jc w:val="left"/>
        <w:rPr>
          <w:b w:val="0"/>
          <w:color w:val="FF0000"/>
          <w:szCs w:val="24"/>
        </w:rPr>
      </w:pPr>
      <w:r w:rsidRPr="009B2C95">
        <w:rPr>
          <w:b w:val="0"/>
          <w:szCs w:val="24"/>
        </w:rPr>
        <w:t xml:space="preserve">Preside </w:t>
      </w:r>
      <w:r w:rsidR="00666A78">
        <w:rPr>
          <w:b w:val="0"/>
          <w:szCs w:val="24"/>
        </w:rPr>
        <w:t>il Vicepresidente sig. Giuseppe Tondo</w:t>
      </w:r>
      <w:r w:rsidR="00527CF4">
        <w:rPr>
          <w:b w:val="0"/>
          <w:szCs w:val="24"/>
        </w:rPr>
        <w:t>.</w:t>
      </w:r>
      <w:r w:rsidR="008C2CC8">
        <w:rPr>
          <w:b w:val="0"/>
          <w:szCs w:val="24"/>
        </w:rPr>
        <w:t xml:space="preserve"> </w:t>
      </w:r>
      <w:r w:rsidRPr="006318FB">
        <w:rPr>
          <w:b w:val="0"/>
          <w:szCs w:val="24"/>
        </w:rPr>
        <w:t>Verbalizza il prof. Gilberto Olita.</w:t>
      </w:r>
    </w:p>
    <w:p w:rsidR="00970318" w:rsidRDefault="00970318" w:rsidP="00C41CB4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Constatata la validità della seduta, hanno inizio i lavori del Consiglio.</w:t>
      </w:r>
    </w:p>
    <w:p w:rsidR="00F11067" w:rsidRDefault="002D0E05" w:rsidP="00C41CB4">
      <w:pPr>
        <w:spacing w:line="276" w:lineRule="auto"/>
        <w:jc w:val="left"/>
        <w:rPr>
          <w:b w:val="0"/>
          <w:szCs w:val="24"/>
        </w:rPr>
      </w:pPr>
      <w:r>
        <w:rPr>
          <w:b w:val="0"/>
          <w:szCs w:val="24"/>
        </w:rPr>
        <w:t>La dirigente presenta una mail trasmessa dal genitore Andrea Croce impossibilitato a prendere parte ai lavori del Consiglio trovandosi fuori sede.</w:t>
      </w:r>
    </w:p>
    <w:p w:rsidR="002D0E05" w:rsidRDefault="002D0E05" w:rsidP="00C41CB4">
      <w:pPr>
        <w:spacing w:line="276" w:lineRule="auto"/>
        <w:jc w:val="left"/>
        <w:rPr>
          <w:b w:val="0"/>
          <w:szCs w:val="24"/>
        </w:rPr>
      </w:pPr>
    </w:p>
    <w:p w:rsidR="00EB058A" w:rsidRDefault="00EB058A" w:rsidP="00E67F60">
      <w:pPr>
        <w:pStyle w:val="Default"/>
        <w:numPr>
          <w:ilvl w:val="0"/>
          <w:numId w:val="16"/>
        </w:numPr>
        <w:spacing w:line="276" w:lineRule="auto"/>
        <w:rPr>
          <w:b/>
          <w:color w:val="auto"/>
          <w:u w:val="single"/>
        </w:rPr>
      </w:pPr>
      <w:r w:rsidRPr="00EB058A">
        <w:rPr>
          <w:b/>
          <w:color w:val="auto"/>
          <w:u w:val="single"/>
        </w:rPr>
        <w:t>Lettura e approvaz</w:t>
      </w:r>
      <w:r>
        <w:rPr>
          <w:b/>
          <w:color w:val="auto"/>
          <w:u w:val="single"/>
        </w:rPr>
        <w:t xml:space="preserve">ione verbale seduta </w:t>
      </w:r>
      <w:r w:rsidR="00E02DA9">
        <w:rPr>
          <w:b/>
          <w:color w:val="auto"/>
          <w:u w:val="single"/>
        </w:rPr>
        <w:t>precedente</w:t>
      </w:r>
    </w:p>
    <w:p w:rsidR="00EB058A" w:rsidRDefault="00EB058A" w:rsidP="002A6B3C">
      <w:pPr>
        <w:pStyle w:val="Default"/>
        <w:spacing w:line="276" w:lineRule="auto"/>
        <w:ind w:left="426" w:hanging="426"/>
        <w:rPr>
          <w:rFonts w:eastAsia="Times New Roman"/>
        </w:rPr>
      </w:pPr>
      <w:r w:rsidRPr="00EB058A">
        <w:rPr>
          <w:rFonts w:eastAsia="Times New Roman"/>
        </w:rPr>
        <w:t>Viene data lettura del verbale della seduta precedente, che viene approvato all’unanimità.</w:t>
      </w:r>
    </w:p>
    <w:p w:rsidR="00E67F60" w:rsidRDefault="00E67F60" w:rsidP="002A6B3C">
      <w:pPr>
        <w:pStyle w:val="Default"/>
        <w:spacing w:line="276" w:lineRule="auto"/>
        <w:ind w:left="426" w:hanging="426"/>
        <w:rPr>
          <w:rFonts w:eastAsia="Times New Roman"/>
        </w:rPr>
      </w:pPr>
    </w:p>
    <w:p w:rsidR="00E67F60" w:rsidRDefault="00E67F60" w:rsidP="00E67F60">
      <w:pPr>
        <w:pStyle w:val="Default"/>
        <w:numPr>
          <w:ilvl w:val="0"/>
          <w:numId w:val="18"/>
        </w:numPr>
        <w:spacing w:line="276" w:lineRule="auto"/>
        <w:jc w:val="both"/>
        <w:rPr>
          <w:b/>
          <w:color w:val="auto"/>
          <w:u w:val="single"/>
        </w:rPr>
      </w:pPr>
      <w:r w:rsidRPr="00E67F60">
        <w:rPr>
          <w:b/>
          <w:color w:val="auto"/>
          <w:u w:val="single"/>
        </w:rPr>
        <w:t>Approvazione Conto Consuntivo E.F. 2018</w:t>
      </w:r>
      <w:r>
        <w:rPr>
          <w:b/>
          <w:color w:val="auto"/>
          <w:u w:val="single"/>
        </w:rPr>
        <w:t xml:space="preserve"> (delibera n. 72)</w:t>
      </w:r>
    </w:p>
    <w:p w:rsidR="001B0FD6" w:rsidRPr="008C2CC8" w:rsidRDefault="001B0FD6" w:rsidP="008C2CC8">
      <w:pPr>
        <w:pStyle w:val="Paragrafoelenco"/>
        <w:spacing w:before="36"/>
        <w:jc w:val="both"/>
        <w:rPr>
          <w:rFonts w:ascii="Times New Roman" w:eastAsia="Times New Roman" w:hAnsi="Times New Roman" w:hint="default"/>
          <w:color w:val="000000"/>
          <w:sz w:val="24"/>
          <w:szCs w:val="24"/>
          <w:lang w:val="it-IT" w:eastAsia="it-IT"/>
        </w:rPr>
      </w:pPr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lastRenderedPageBreak/>
        <w:t>Si esamina il Conto Consuntivo 2018 (</w:t>
      </w:r>
      <w:proofErr w:type="spellStart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mod</w:t>
      </w:r>
      <w:proofErr w:type="spellEnd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. H) unitamente al rendiconto dei Progetti/</w:t>
      </w:r>
      <w:proofErr w:type="gramStart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Attivit</w:t>
      </w:r>
      <w:r w:rsidR="008C2CC8"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à</w:t>
      </w:r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(</w:t>
      </w:r>
      <w:proofErr w:type="spellStart"/>
      <w:proofErr w:type="gramEnd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Mod</w:t>
      </w:r>
      <w:proofErr w:type="spellEnd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. I), alla situazione finanziaria al 31/12/2018 (</w:t>
      </w:r>
      <w:proofErr w:type="spellStart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Mod</w:t>
      </w:r>
      <w:proofErr w:type="spellEnd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. J), alla situazione patrimoniale (</w:t>
      </w:r>
      <w:proofErr w:type="spellStart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Mod</w:t>
      </w:r>
      <w:proofErr w:type="spellEnd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 xml:space="preserve">. K) e alla relazione illustrativa del Dirigente Scolastico. </w:t>
      </w:r>
      <w:r w:rsidR="008C2CC8">
        <w:rPr>
          <w:rFonts w:ascii="Times New Roman" w:eastAsia="Times New Roman" w:hAnsi="Times New Roman" w:hint="default"/>
          <w:color w:val="000000"/>
          <w:sz w:val="24"/>
          <w:szCs w:val="24"/>
          <w:lang w:val="it-IT" w:eastAsia="it-IT"/>
        </w:rPr>
        <w:t>Si propone</w:t>
      </w:r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 xml:space="preserve"> al Consiglio d'Istituto l'approvazione del Conto Consuntivo, previo parere dei revisori dei conti, relativo all'anno 2018 che presenta le seguenti risultanze finali: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40"/>
        <w:gridCol w:w="1377"/>
        <w:gridCol w:w="1939"/>
        <w:gridCol w:w="1377"/>
        <w:gridCol w:w="2287"/>
      </w:tblGrid>
      <w:tr w:rsidR="001B0FD6" w:rsidRPr="008C2CC8" w:rsidTr="00265EDB">
        <w:tc>
          <w:tcPr>
            <w:tcW w:w="2098" w:type="dxa"/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Entrate</w:t>
            </w:r>
          </w:p>
        </w:tc>
        <w:tc>
          <w:tcPr>
            <w:tcW w:w="1531" w:type="dxa"/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Importo</w:t>
            </w:r>
          </w:p>
        </w:tc>
        <w:tc>
          <w:tcPr>
            <w:tcW w:w="2098" w:type="dxa"/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Uscite</w:t>
            </w:r>
          </w:p>
        </w:tc>
        <w:tc>
          <w:tcPr>
            <w:tcW w:w="1531" w:type="dxa"/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Importo</w:t>
            </w:r>
          </w:p>
        </w:tc>
        <w:tc>
          <w:tcPr>
            <w:tcW w:w="2750" w:type="dxa"/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Entrate – Uscite</w:t>
            </w:r>
          </w:p>
        </w:tc>
      </w:tr>
      <w:tr w:rsidR="001B0FD6" w:rsidRPr="008C2CC8" w:rsidTr="00265EDB">
        <w:tc>
          <w:tcPr>
            <w:tcW w:w="2098" w:type="dxa"/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Programmazione definitiva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798.331,94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Programmazione definitiva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740.593,55</w:t>
            </w:r>
          </w:p>
        </w:tc>
        <w:tc>
          <w:tcPr>
            <w:tcW w:w="2750" w:type="dxa"/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proofErr w:type="spell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Disp</w:t>
            </w:r>
            <w:proofErr w:type="spellEnd"/>
            <w:r w:rsidRPr="008C2CC8">
              <w:rPr>
                <w:rFonts w:eastAsia="Times New Roman"/>
                <w:b w:val="0"/>
                <w:color w:val="000000"/>
                <w:szCs w:val="24"/>
              </w:rPr>
              <w:t xml:space="preserve">. fin. </w:t>
            </w:r>
            <w:proofErr w:type="gram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da</w:t>
            </w:r>
            <w:proofErr w:type="gramEnd"/>
            <w:r w:rsidRPr="008C2CC8">
              <w:rPr>
                <w:rFonts w:eastAsia="Times New Roman"/>
                <w:b w:val="0"/>
                <w:color w:val="000000"/>
                <w:szCs w:val="24"/>
              </w:rPr>
              <w:t xml:space="preserve"> programmare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57.738,39</w:t>
            </w:r>
          </w:p>
        </w:tc>
      </w:tr>
      <w:tr w:rsidR="001B0FD6" w:rsidRPr="008C2CC8" w:rsidTr="00265EDB">
        <w:tc>
          <w:tcPr>
            <w:tcW w:w="2098" w:type="dxa"/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Accertamenti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311.764,40</w:t>
            </w:r>
          </w:p>
        </w:tc>
        <w:tc>
          <w:tcPr>
            <w:tcW w:w="2098" w:type="dxa"/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Impegni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313.838,65</w:t>
            </w:r>
          </w:p>
        </w:tc>
        <w:tc>
          <w:tcPr>
            <w:tcW w:w="2750" w:type="dxa"/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Avanzo/Disavanzo di competenza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-2.074,25</w:t>
            </w:r>
          </w:p>
        </w:tc>
      </w:tr>
      <w:tr w:rsidR="001B0FD6" w:rsidRPr="008C2CC8" w:rsidTr="00265EDB"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proofErr w:type="gram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competenza</w:t>
            </w:r>
            <w:proofErr w:type="gramEnd"/>
          </w:p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Riscossioni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proofErr w:type="gram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residui</w:t>
            </w:r>
            <w:proofErr w:type="gramEnd"/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275.892,59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3.695,46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proofErr w:type="gram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competenza</w:t>
            </w:r>
            <w:proofErr w:type="gramEnd"/>
          </w:p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Pagamenti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proofErr w:type="gram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residui</w:t>
            </w:r>
            <w:proofErr w:type="gramEnd"/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294.323,72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7.899,54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Saldo di cassa corrente (a)</w:t>
            </w:r>
          </w:p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-22.635,21</w:t>
            </w:r>
          </w:p>
        </w:tc>
      </w:tr>
      <w:tr w:rsidR="001B0FD6" w:rsidRPr="008C2CC8" w:rsidTr="00265EDB"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Somme rimaste da riscuotere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35.871,81</w:t>
            </w:r>
          </w:p>
        </w:tc>
        <w:tc>
          <w:tcPr>
            <w:tcW w:w="20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Somme rimaste da pagare</w:t>
            </w:r>
          </w:p>
        </w:tc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19.514,93</w:t>
            </w:r>
          </w:p>
        </w:tc>
        <w:tc>
          <w:tcPr>
            <w:tcW w:w="2750" w:type="dxa"/>
            <w:tcBorders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Residui dell’anno attivi/passivi</w:t>
            </w:r>
          </w:p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16.356,88</w:t>
            </w:r>
          </w:p>
        </w:tc>
      </w:tr>
      <w:tr w:rsidR="001B0FD6" w:rsidRPr="008C2CC8" w:rsidTr="00265EDB"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(+)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(+)</w:t>
            </w:r>
          </w:p>
        </w:tc>
        <w:tc>
          <w:tcPr>
            <w:tcW w:w="27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</w:tr>
      <w:tr w:rsidR="001B0FD6" w:rsidRPr="008C2CC8" w:rsidTr="00265EDB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Residui non riscossi anni precedenti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1.912,34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Residui non pagati anni precedenti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268,40</w:t>
            </w:r>
          </w:p>
        </w:tc>
        <w:tc>
          <w:tcPr>
            <w:tcW w:w="275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</w:tr>
      <w:tr w:rsidR="001B0FD6" w:rsidRPr="008C2CC8" w:rsidTr="00265EDB"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(=)</w:t>
            </w: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(=)</w:t>
            </w:r>
          </w:p>
        </w:tc>
        <w:tc>
          <w:tcPr>
            <w:tcW w:w="27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</w:p>
        </w:tc>
      </w:tr>
      <w:tr w:rsidR="001B0FD6" w:rsidRPr="008C2CC8" w:rsidTr="00265EDB"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Totale residui attivi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37.784,15</w:t>
            </w:r>
          </w:p>
        </w:tc>
        <w:tc>
          <w:tcPr>
            <w:tcW w:w="20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Totale residui passivi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19.783,33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Sbilancio residui (b)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18.000,82</w:t>
            </w:r>
          </w:p>
        </w:tc>
      </w:tr>
      <w:tr w:rsidR="001B0FD6" w:rsidRPr="008C2CC8" w:rsidTr="00265EDB"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Saldo cassa iniziale (c)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218.736,78</w:t>
            </w:r>
          </w:p>
        </w:tc>
      </w:tr>
      <w:tr w:rsidR="001B0FD6" w:rsidRPr="008C2CC8" w:rsidTr="00265EDB">
        <w:trPr>
          <w:trHeight w:val="300"/>
        </w:trPr>
        <w:tc>
          <w:tcPr>
            <w:tcW w:w="20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</w:p>
        </w:tc>
        <w:tc>
          <w:tcPr>
            <w:tcW w:w="362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jc w:val="center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AVANZO DI AMMINISTRAZIONE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FD6" w:rsidRPr="008C2CC8" w:rsidRDefault="001B0FD6" w:rsidP="00265EDB">
            <w:pPr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(</w:t>
            </w:r>
            <w:proofErr w:type="spellStart"/>
            <w:proofErr w:type="gramStart"/>
            <w:r w:rsidRPr="008C2CC8">
              <w:rPr>
                <w:rFonts w:eastAsia="Times New Roman"/>
                <w:b w:val="0"/>
                <w:color w:val="000000"/>
                <w:szCs w:val="24"/>
              </w:rPr>
              <w:t>a</w:t>
            </w:r>
            <w:proofErr w:type="gramEnd"/>
            <w:r w:rsidRPr="008C2CC8">
              <w:rPr>
                <w:rFonts w:eastAsia="Times New Roman"/>
                <w:b w:val="0"/>
                <w:color w:val="000000"/>
                <w:szCs w:val="24"/>
              </w:rPr>
              <w:t>+b+c</w:t>
            </w:r>
            <w:proofErr w:type="spellEnd"/>
            <w:r w:rsidRPr="008C2CC8">
              <w:rPr>
                <w:rFonts w:eastAsia="Times New Roman"/>
                <w:b w:val="0"/>
                <w:color w:val="000000"/>
                <w:szCs w:val="24"/>
              </w:rPr>
              <w:t>)</w:t>
            </w:r>
          </w:p>
          <w:p w:rsidR="001B0FD6" w:rsidRPr="008C2CC8" w:rsidRDefault="001B0FD6" w:rsidP="00265EDB">
            <w:pPr>
              <w:jc w:val="right"/>
              <w:rPr>
                <w:rFonts w:eastAsia="Times New Roman"/>
                <w:b w:val="0"/>
                <w:color w:val="000000"/>
                <w:szCs w:val="24"/>
              </w:rPr>
            </w:pPr>
            <w:r w:rsidRPr="008C2CC8">
              <w:rPr>
                <w:rFonts w:eastAsia="Times New Roman"/>
                <w:b w:val="0"/>
                <w:color w:val="000000"/>
                <w:szCs w:val="24"/>
              </w:rPr>
              <w:t>214.102,39</w:t>
            </w:r>
          </w:p>
        </w:tc>
      </w:tr>
    </w:tbl>
    <w:p w:rsidR="001B0FD6" w:rsidRPr="008C2CC8" w:rsidRDefault="001B0FD6" w:rsidP="008C2CC8">
      <w:pPr>
        <w:pStyle w:val="Paragrafoelenco"/>
        <w:spacing w:before="36"/>
        <w:rPr>
          <w:rFonts w:ascii="Times New Roman" w:eastAsia="Times New Roman" w:hAnsi="Times New Roman" w:hint="default"/>
          <w:color w:val="000000"/>
          <w:sz w:val="24"/>
          <w:szCs w:val="24"/>
          <w:lang w:val="it-IT" w:eastAsia="it-IT"/>
        </w:rPr>
      </w:pPr>
    </w:p>
    <w:p w:rsidR="001B0FD6" w:rsidRPr="008C2CC8" w:rsidRDefault="001B0FD6" w:rsidP="008C2CC8">
      <w:pPr>
        <w:pStyle w:val="Paragrafoelenco"/>
        <w:spacing w:before="36"/>
        <w:rPr>
          <w:rFonts w:ascii="Times New Roman" w:eastAsia="Times New Roman" w:hAnsi="Times New Roman" w:hint="default"/>
          <w:color w:val="000000"/>
          <w:sz w:val="24"/>
          <w:szCs w:val="24"/>
          <w:lang w:val="it-IT" w:eastAsia="it-IT"/>
        </w:rPr>
      </w:pPr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 xml:space="preserve">La consistenza patrimoniale dell'Istituto al 31/12/2018, come risulta dal </w:t>
      </w:r>
      <w:proofErr w:type="spellStart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Mod</w:t>
      </w:r>
      <w:proofErr w:type="spellEnd"/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. K, ammonta ad € 524.645,33.</w:t>
      </w:r>
    </w:p>
    <w:p w:rsidR="001B0FD6" w:rsidRPr="008C2CC8" w:rsidRDefault="001B0FD6" w:rsidP="008C2CC8">
      <w:pPr>
        <w:pStyle w:val="Paragrafoelenco"/>
        <w:spacing w:before="36"/>
        <w:rPr>
          <w:rFonts w:ascii="Times New Roman" w:eastAsia="Times New Roman" w:hAnsi="Times New Roman" w:hint="default"/>
          <w:color w:val="000000"/>
          <w:sz w:val="24"/>
          <w:szCs w:val="24"/>
          <w:lang w:val="it-IT" w:eastAsia="it-IT"/>
        </w:rPr>
      </w:pPr>
      <w:r w:rsidRPr="008C2CC8">
        <w:rPr>
          <w:rFonts w:ascii="Times New Roman" w:eastAsia="Times New Roman" w:hAnsi="Times New Roman"/>
          <w:color w:val="000000"/>
          <w:sz w:val="24"/>
          <w:szCs w:val="24"/>
          <w:lang w:val="it-IT" w:eastAsia="it-IT"/>
        </w:rPr>
        <w:t>La consistenza finale dei beni inventariati concorda con le risultanze dei registri d'inventario al 31/12/2018 per un totale netto di € 290.139,61.</w:t>
      </w:r>
    </w:p>
    <w:p w:rsidR="008C2CC8" w:rsidRPr="008C2CC8" w:rsidRDefault="008C2CC8" w:rsidP="008C2CC8">
      <w:pPr>
        <w:pStyle w:val="Default"/>
        <w:spacing w:line="276" w:lineRule="auto"/>
        <w:jc w:val="center"/>
        <w:rPr>
          <w:rFonts w:eastAsia="Times New Roman"/>
        </w:rPr>
      </w:pPr>
      <w:r w:rsidRPr="008C2CC8">
        <w:rPr>
          <w:rFonts w:eastAsia="Times New Roman"/>
        </w:rPr>
        <w:t>IL CONSIGLIO DI ISTITUTO</w:t>
      </w:r>
    </w:p>
    <w:p w:rsidR="008C2CC8" w:rsidRPr="008C2CC8" w:rsidRDefault="008C2CC8" w:rsidP="008C2CC8">
      <w:pPr>
        <w:pStyle w:val="Default"/>
        <w:spacing w:line="276" w:lineRule="auto"/>
        <w:rPr>
          <w:rFonts w:eastAsia="Times New Roman"/>
        </w:rPr>
      </w:pPr>
    </w:p>
    <w:p w:rsidR="008C2CC8" w:rsidRPr="008C2CC8" w:rsidRDefault="008C2CC8" w:rsidP="008C2CC8">
      <w:pPr>
        <w:pStyle w:val="Default"/>
        <w:spacing w:line="276" w:lineRule="auto"/>
        <w:ind w:left="1410" w:hanging="1410"/>
        <w:rPr>
          <w:rFonts w:eastAsia="Times New Roman"/>
        </w:rPr>
      </w:pPr>
      <w:r w:rsidRPr="008C2CC8">
        <w:rPr>
          <w:rFonts w:eastAsia="Times New Roman"/>
        </w:rPr>
        <w:t xml:space="preserve">ASCOLTATI </w:t>
      </w:r>
      <w:r w:rsidRPr="008C2CC8">
        <w:rPr>
          <w:rFonts w:eastAsia="Times New Roman"/>
        </w:rPr>
        <w:tab/>
        <w:t>gli interventi del Presidente e del Dirigente Scolastico e la discussione che ne è seguita;</w:t>
      </w:r>
    </w:p>
    <w:p w:rsidR="008C2CC8" w:rsidRPr="008C2CC8" w:rsidRDefault="008C2CC8" w:rsidP="008C2CC8">
      <w:pPr>
        <w:pStyle w:val="Default"/>
        <w:spacing w:line="276" w:lineRule="auto"/>
        <w:rPr>
          <w:rFonts w:eastAsia="Times New Roman"/>
        </w:rPr>
      </w:pPr>
      <w:r w:rsidRPr="008C2CC8">
        <w:rPr>
          <w:rFonts w:eastAsia="Times New Roman"/>
        </w:rPr>
        <w:t xml:space="preserve">VISTO </w:t>
      </w:r>
      <w:r w:rsidRPr="008C2CC8">
        <w:rPr>
          <w:rFonts w:eastAsia="Times New Roman"/>
        </w:rPr>
        <w:tab/>
        <w:t>l’art. 21 Legge 15 marzo 1997, n. 59;</w:t>
      </w:r>
    </w:p>
    <w:p w:rsidR="008C2CC8" w:rsidRPr="008C2CC8" w:rsidRDefault="008C2CC8" w:rsidP="008C2CC8">
      <w:pPr>
        <w:pStyle w:val="Default"/>
        <w:spacing w:line="276" w:lineRule="auto"/>
        <w:rPr>
          <w:rFonts w:eastAsia="Times New Roman"/>
        </w:rPr>
      </w:pPr>
      <w:r w:rsidRPr="008C2CC8">
        <w:rPr>
          <w:rFonts w:eastAsia="Times New Roman"/>
        </w:rPr>
        <w:t xml:space="preserve">VISTO </w:t>
      </w:r>
      <w:r w:rsidRPr="008C2CC8">
        <w:rPr>
          <w:rFonts w:eastAsia="Times New Roman"/>
        </w:rPr>
        <w:tab/>
        <w:t>il DPR 8 marzo 1999, n. 275;</w:t>
      </w:r>
    </w:p>
    <w:p w:rsidR="008C2CC8" w:rsidRPr="008C2CC8" w:rsidRDefault="008C2CC8" w:rsidP="008C2CC8">
      <w:pPr>
        <w:pStyle w:val="Default"/>
        <w:spacing w:line="276" w:lineRule="auto"/>
        <w:ind w:left="1410" w:hanging="1410"/>
        <w:rPr>
          <w:rFonts w:eastAsia="Times New Roman"/>
        </w:rPr>
      </w:pPr>
      <w:r w:rsidRPr="008C2CC8">
        <w:rPr>
          <w:rFonts w:eastAsia="Times New Roman"/>
        </w:rPr>
        <w:t xml:space="preserve">VISTO </w:t>
      </w:r>
      <w:r w:rsidRPr="008C2CC8">
        <w:rPr>
          <w:rFonts w:eastAsia="Times New Roman"/>
        </w:rPr>
        <w:tab/>
        <w:t>il Regolamento recante istruzioni generali sulla gestione amministrativo-contabile delle istituzioni scolastiche, ai sensi dell'articolo 1, comma 143, della legge 13 luglio 2015, n. 107. Decreto 28 agosto 2018, n. 129, con particolare riferimento agli artt. 22 e 23;</w:t>
      </w:r>
    </w:p>
    <w:p w:rsidR="008C2CC8" w:rsidRPr="008C2CC8" w:rsidRDefault="008C2CC8" w:rsidP="008C2CC8">
      <w:pPr>
        <w:pStyle w:val="Default"/>
        <w:spacing w:line="276" w:lineRule="auto"/>
        <w:ind w:left="705" w:hanging="705"/>
        <w:rPr>
          <w:rFonts w:eastAsia="Times New Roman"/>
        </w:rPr>
      </w:pPr>
      <w:r w:rsidRPr="008C2CC8">
        <w:rPr>
          <w:rFonts w:eastAsia="Times New Roman"/>
        </w:rPr>
        <w:t xml:space="preserve">VISTI </w:t>
      </w:r>
      <w:r w:rsidRPr="008C2CC8">
        <w:rPr>
          <w:rFonts w:eastAsia="Times New Roman"/>
        </w:rPr>
        <w:tab/>
        <w:t xml:space="preserve">gli orientamenti interpretativi emanati da MIUR con nota </w:t>
      </w:r>
      <w:proofErr w:type="spellStart"/>
      <w:r w:rsidRPr="008C2CC8">
        <w:rPr>
          <w:rFonts w:eastAsia="Times New Roman"/>
        </w:rPr>
        <w:t>prot</w:t>
      </w:r>
      <w:proofErr w:type="spellEnd"/>
      <w:r w:rsidRPr="008C2CC8">
        <w:rPr>
          <w:rFonts w:eastAsia="Times New Roman"/>
        </w:rPr>
        <w:t>. n. 74 del 5 gennaio 2019;</w:t>
      </w:r>
    </w:p>
    <w:p w:rsidR="008C2CC8" w:rsidRPr="008C2CC8" w:rsidRDefault="008C2CC8" w:rsidP="008C2CC8">
      <w:pPr>
        <w:pStyle w:val="Default"/>
        <w:spacing w:line="276" w:lineRule="auto"/>
        <w:ind w:left="708" w:hanging="708"/>
        <w:rPr>
          <w:rFonts w:eastAsia="Times New Roman"/>
        </w:rPr>
      </w:pPr>
      <w:proofErr w:type="gramStart"/>
      <w:r w:rsidRPr="008C2CC8">
        <w:rPr>
          <w:rFonts w:eastAsia="Times New Roman"/>
        </w:rPr>
        <w:lastRenderedPageBreak/>
        <w:t xml:space="preserve">VISTO </w:t>
      </w:r>
      <w:r>
        <w:rPr>
          <w:rFonts w:eastAsia="Times New Roman"/>
        </w:rPr>
        <w:t xml:space="preserve"> </w:t>
      </w:r>
      <w:r w:rsidRPr="008C2CC8">
        <w:rPr>
          <w:rFonts w:eastAsia="Times New Roman"/>
        </w:rPr>
        <w:t>Conto</w:t>
      </w:r>
      <w:proofErr w:type="gramEnd"/>
      <w:r w:rsidRPr="008C2CC8">
        <w:rPr>
          <w:rFonts w:eastAsia="Times New Roman"/>
        </w:rPr>
        <w:t xml:space="preserve"> Consuntivo dell’esercizio finanziario 2018 predisposto dal Direttore SGA e riportato nell’apposita modulistica ministeriale, cui è allegata la relazione illustrativa;</w:t>
      </w:r>
    </w:p>
    <w:p w:rsidR="008C2CC8" w:rsidRPr="008C2CC8" w:rsidRDefault="008C2CC8" w:rsidP="008C2CC8">
      <w:pPr>
        <w:pStyle w:val="Default"/>
        <w:spacing w:line="276" w:lineRule="auto"/>
        <w:ind w:left="708" w:hanging="708"/>
        <w:jc w:val="both"/>
        <w:rPr>
          <w:rFonts w:eastAsia="Times New Roman"/>
        </w:rPr>
      </w:pPr>
      <w:r w:rsidRPr="008C2CC8">
        <w:rPr>
          <w:rFonts w:eastAsia="Times New Roman"/>
        </w:rPr>
        <w:t>VISTO il parere di regolarità contabile reso dai Revisori dei Conti N</w:t>
      </w:r>
      <w:r>
        <w:rPr>
          <w:rFonts w:eastAsia="Times New Roman"/>
        </w:rPr>
        <w:t>.</w:t>
      </w:r>
      <w:r w:rsidRPr="008C2CC8">
        <w:rPr>
          <w:rFonts w:eastAsia="Times New Roman"/>
        </w:rPr>
        <w:t xml:space="preserve"> 2019/003  </w:t>
      </w:r>
      <w:r>
        <w:rPr>
          <w:rFonts w:eastAsia="Times New Roman"/>
        </w:rPr>
        <w:t xml:space="preserve"> </w:t>
      </w:r>
      <w:r w:rsidRPr="008C2CC8">
        <w:rPr>
          <w:rFonts w:eastAsia="Times New Roman"/>
        </w:rPr>
        <w:t>dell’8/04/2019:</w:t>
      </w:r>
    </w:p>
    <w:p w:rsidR="008C2CC8" w:rsidRPr="008C2CC8" w:rsidRDefault="008C2CC8" w:rsidP="008C2CC8">
      <w:pPr>
        <w:pStyle w:val="Default"/>
        <w:spacing w:line="276" w:lineRule="auto"/>
        <w:rPr>
          <w:rFonts w:eastAsia="Times New Roman"/>
        </w:rPr>
      </w:pPr>
      <w:r w:rsidRPr="008C2CC8">
        <w:rPr>
          <w:rFonts w:eastAsia="Times New Roman"/>
        </w:rPr>
        <w:tab/>
      </w:r>
    </w:p>
    <w:p w:rsidR="008C2CC8" w:rsidRPr="008C2CC8" w:rsidRDefault="008C2CC8" w:rsidP="008C2CC8">
      <w:pPr>
        <w:pStyle w:val="Default"/>
        <w:spacing w:line="276" w:lineRule="auto"/>
        <w:jc w:val="center"/>
        <w:rPr>
          <w:rFonts w:eastAsia="Times New Roman"/>
        </w:rPr>
      </w:pPr>
      <w:proofErr w:type="gramStart"/>
      <w:r w:rsidRPr="008C2CC8">
        <w:rPr>
          <w:rFonts w:eastAsia="Times New Roman"/>
        </w:rPr>
        <w:t>all</w:t>
      </w:r>
      <w:proofErr w:type="gramEnd"/>
      <w:r w:rsidRPr="008C2CC8">
        <w:rPr>
          <w:rFonts w:eastAsia="Times New Roman"/>
        </w:rPr>
        <w:t>’ unanimità dei presenti</w:t>
      </w:r>
    </w:p>
    <w:p w:rsidR="008C2CC8" w:rsidRPr="008C2CC8" w:rsidRDefault="008C2CC8" w:rsidP="008C2CC8">
      <w:pPr>
        <w:pStyle w:val="Default"/>
        <w:spacing w:line="276" w:lineRule="auto"/>
        <w:jc w:val="center"/>
        <w:rPr>
          <w:rFonts w:eastAsia="Times New Roman"/>
        </w:rPr>
      </w:pPr>
      <w:r w:rsidRPr="008C2CC8">
        <w:rPr>
          <w:rFonts w:eastAsia="Times New Roman"/>
        </w:rPr>
        <w:t>DELIBERA</w:t>
      </w:r>
    </w:p>
    <w:p w:rsidR="008C2CC8" w:rsidRPr="008C2CC8" w:rsidRDefault="008C2CC8" w:rsidP="008C2CC8">
      <w:pPr>
        <w:pStyle w:val="Default"/>
        <w:spacing w:line="276" w:lineRule="auto"/>
        <w:jc w:val="both"/>
        <w:rPr>
          <w:rFonts w:eastAsia="Times New Roman"/>
        </w:rPr>
      </w:pPr>
    </w:p>
    <w:p w:rsidR="008C2CC8" w:rsidRPr="008C2CC8" w:rsidRDefault="008C2CC8" w:rsidP="008C2CC8">
      <w:pPr>
        <w:pStyle w:val="Default"/>
        <w:spacing w:line="276" w:lineRule="auto"/>
        <w:rPr>
          <w:rFonts w:eastAsia="Times New Roman"/>
        </w:rPr>
      </w:pPr>
      <w:proofErr w:type="gramStart"/>
      <w:r w:rsidRPr="008C2CC8">
        <w:rPr>
          <w:rFonts w:eastAsia="Times New Roman"/>
        </w:rPr>
        <w:t>di</w:t>
      </w:r>
      <w:proofErr w:type="gramEnd"/>
      <w:r w:rsidRPr="008C2CC8">
        <w:rPr>
          <w:rFonts w:eastAsia="Times New Roman"/>
        </w:rPr>
        <w:t xml:space="preserve"> approvare il Conto Consuntivo dell’esercizio finanziario 2018, così come predisposto dal Direttore SGA e riportato nella modulistica ministeriale modelli H, K, J, I, L, M ed N, cui è allegata la relazione illustrativa;</w:t>
      </w:r>
    </w:p>
    <w:p w:rsidR="008C2CC8" w:rsidRPr="008C2CC8" w:rsidRDefault="008C2CC8" w:rsidP="008C2CC8">
      <w:pPr>
        <w:pStyle w:val="Default"/>
        <w:spacing w:line="276" w:lineRule="auto"/>
        <w:jc w:val="both"/>
        <w:rPr>
          <w:rFonts w:eastAsia="Times New Roman"/>
        </w:rPr>
      </w:pPr>
      <w:proofErr w:type="gramStart"/>
      <w:r w:rsidRPr="008C2CC8">
        <w:rPr>
          <w:rFonts w:eastAsia="Times New Roman"/>
        </w:rPr>
        <w:t>di</w:t>
      </w:r>
      <w:proofErr w:type="gramEnd"/>
      <w:r w:rsidRPr="008C2CC8">
        <w:rPr>
          <w:rFonts w:eastAsia="Times New Roman"/>
        </w:rPr>
        <w:t xml:space="preserve"> disporre la pubblicazione nel sito web dell’Istituzione Scolastica (sezione amministrazione trasparente) e nel portale unico dei dati delle scuole.</w:t>
      </w:r>
    </w:p>
    <w:p w:rsidR="008C2CC8" w:rsidRPr="008C2CC8" w:rsidRDefault="008C2CC8" w:rsidP="008C2CC8">
      <w:pPr>
        <w:pStyle w:val="Default"/>
        <w:spacing w:line="276" w:lineRule="auto"/>
        <w:rPr>
          <w:rFonts w:eastAsia="Times New Roman"/>
        </w:rPr>
      </w:pPr>
    </w:p>
    <w:p w:rsidR="001B0FD6" w:rsidRDefault="008C2CC8" w:rsidP="008C2CC8">
      <w:pPr>
        <w:pStyle w:val="Default"/>
        <w:spacing w:line="276" w:lineRule="auto"/>
        <w:jc w:val="both"/>
        <w:rPr>
          <w:b/>
          <w:color w:val="auto"/>
          <w:u w:val="single"/>
        </w:rPr>
      </w:pPr>
      <w:r w:rsidRPr="008C2CC8">
        <w:rPr>
          <w:rFonts w:eastAsia="Times New Roman"/>
        </w:rPr>
        <w:t>Avverso la presente deliberazione è ammesso reclamo al Consiglio stesso, ai sensi dell’art 14 DPR 275/1999, da chiunque vi abbia interesse entro il quindicesimo giorno dalla data di pubblicazione all’albo della scuola. Decorso tale termine la deliberazione diventa definitiva e può essere impugnata solo con ricorso giurisdizionale al TAR o ricorso straordinario al Capo dello Stato, rispettivamente nei termini di 60 e 120 giorni.</w:t>
      </w:r>
    </w:p>
    <w:p w:rsidR="00E67F60" w:rsidRPr="00E67F60" w:rsidRDefault="00E67F60" w:rsidP="00E67F60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E67F60" w:rsidRDefault="00E67F60" w:rsidP="00E67F60">
      <w:pPr>
        <w:pStyle w:val="Default"/>
        <w:numPr>
          <w:ilvl w:val="0"/>
          <w:numId w:val="18"/>
        </w:numPr>
        <w:spacing w:line="276" w:lineRule="auto"/>
        <w:jc w:val="both"/>
        <w:rPr>
          <w:b/>
          <w:color w:val="auto"/>
          <w:u w:val="single"/>
        </w:rPr>
      </w:pPr>
      <w:r w:rsidRPr="00E67F60">
        <w:rPr>
          <w:b/>
          <w:color w:val="auto"/>
          <w:u w:val="single"/>
        </w:rPr>
        <w:t>Acquisizione nel P.A. 2019 del PON</w:t>
      </w:r>
    </w:p>
    <w:p w:rsidR="00E67F60" w:rsidRPr="003457C7" w:rsidRDefault="003457C7" w:rsidP="00E67F60">
      <w:pPr>
        <w:pStyle w:val="Default"/>
        <w:spacing w:line="276" w:lineRule="auto"/>
        <w:jc w:val="both"/>
        <w:rPr>
          <w:color w:val="auto"/>
        </w:rPr>
      </w:pPr>
      <w:r w:rsidRPr="003457C7">
        <w:rPr>
          <w:color w:val="auto"/>
        </w:rPr>
        <w:t>Rinviato alla seduta suc</w:t>
      </w:r>
      <w:r w:rsidR="008C2CC8">
        <w:rPr>
          <w:color w:val="auto"/>
        </w:rPr>
        <w:t>c</w:t>
      </w:r>
      <w:r w:rsidRPr="003457C7">
        <w:rPr>
          <w:color w:val="auto"/>
        </w:rPr>
        <w:t>essiva.</w:t>
      </w:r>
    </w:p>
    <w:p w:rsidR="00E67F60" w:rsidRPr="00E67F60" w:rsidRDefault="00E67F60" w:rsidP="00E67F60">
      <w:pPr>
        <w:pStyle w:val="Default"/>
        <w:spacing w:line="276" w:lineRule="auto"/>
        <w:jc w:val="both"/>
        <w:rPr>
          <w:color w:val="auto"/>
        </w:rPr>
      </w:pPr>
    </w:p>
    <w:p w:rsidR="00E67F60" w:rsidRDefault="00E67F60" w:rsidP="003F3076">
      <w:pPr>
        <w:pStyle w:val="Default"/>
        <w:numPr>
          <w:ilvl w:val="0"/>
          <w:numId w:val="18"/>
        </w:numPr>
        <w:spacing w:line="276" w:lineRule="auto"/>
        <w:jc w:val="both"/>
        <w:rPr>
          <w:b/>
          <w:color w:val="auto"/>
          <w:u w:val="single"/>
        </w:rPr>
      </w:pPr>
      <w:r w:rsidRPr="00E67F60">
        <w:rPr>
          <w:b/>
          <w:u w:val="single"/>
        </w:rPr>
        <w:t xml:space="preserve">Criteri di reclutamento esperti madrelingua </w:t>
      </w:r>
      <w:r w:rsidRPr="00E67F60">
        <w:rPr>
          <w:b/>
          <w:color w:val="auto"/>
          <w:u w:val="single"/>
        </w:rPr>
        <w:t>e di affidamento servizi mobilità Irlanda</w:t>
      </w:r>
      <w:r w:rsidRPr="00E67F60">
        <w:rPr>
          <w:b/>
          <w:u w:val="single"/>
        </w:rPr>
        <w:t xml:space="preserve"> nel Progetto </w:t>
      </w:r>
      <w:r w:rsidRPr="00E67F60">
        <w:rPr>
          <w:b/>
          <w:color w:val="auto"/>
          <w:u w:val="single"/>
        </w:rPr>
        <w:t>10.2.3C-FSEPON-PU-2018-</w:t>
      </w:r>
      <w:proofErr w:type="gramStart"/>
      <w:r w:rsidRPr="00E67F60">
        <w:rPr>
          <w:b/>
          <w:color w:val="auto"/>
          <w:u w:val="single"/>
        </w:rPr>
        <w:t>78  '</w:t>
      </w:r>
      <w:proofErr w:type="gramEnd"/>
      <w:r w:rsidR="003F3076" w:rsidRPr="003F3076">
        <w:rPr>
          <w:b/>
          <w:color w:val="auto"/>
          <w:u w:val="single"/>
        </w:rPr>
        <w:t>English</w:t>
      </w:r>
      <w:r w:rsidR="003F3076">
        <w:rPr>
          <w:b/>
          <w:color w:val="auto"/>
          <w:u w:val="single"/>
        </w:rPr>
        <w:t xml:space="preserve">  </w:t>
      </w:r>
      <w:proofErr w:type="spellStart"/>
      <w:r w:rsidRPr="00E67F60">
        <w:rPr>
          <w:b/>
          <w:color w:val="auto"/>
          <w:u w:val="single"/>
        </w:rPr>
        <w:t>Abroad</w:t>
      </w:r>
      <w:proofErr w:type="spellEnd"/>
      <w:r w:rsidRPr="00E67F60">
        <w:rPr>
          <w:b/>
          <w:color w:val="auto"/>
          <w:u w:val="single"/>
        </w:rPr>
        <w:t xml:space="preserve"> '</w:t>
      </w:r>
      <w:r>
        <w:rPr>
          <w:b/>
          <w:color w:val="auto"/>
          <w:u w:val="single"/>
        </w:rPr>
        <w:t xml:space="preserve"> (delibera n. 73)</w:t>
      </w:r>
    </w:p>
    <w:p w:rsidR="00E67F60" w:rsidRDefault="00E67F60" w:rsidP="00E67F60">
      <w:pPr>
        <w:pStyle w:val="Default"/>
        <w:spacing w:line="276" w:lineRule="auto"/>
        <w:ind w:left="720"/>
        <w:jc w:val="both"/>
        <w:rPr>
          <w:b/>
          <w:color w:val="auto"/>
          <w:u w:val="single"/>
        </w:rPr>
      </w:pPr>
    </w:p>
    <w:p w:rsidR="00797510" w:rsidRPr="00107124" w:rsidRDefault="00B70B66" w:rsidP="00107124">
      <w:pPr>
        <w:pStyle w:val="Default"/>
        <w:spacing w:line="276" w:lineRule="auto"/>
        <w:jc w:val="both"/>
        <w:rPr>
          <w:color w:val="auto"/>
        </w:rPr>
      </w:pPr>
      <w:r w:rsidRPr="00107124">
        <w:rPr>
          <w:color w:val="auto"/>
        </w:rPr>
        <w:t>La dirigente comunica</w:t>
      </w:r>
      <w:r w:rsidR="00654350" w:rsidRPr="00107124">
        <w:rPr>
          <w:color w:val="auto"/>
        </w:rPr>
        <w:t>, a conclusione dei moduli propedeutici,</w:t>
      </w:r>
      <w:r w:rsidRPr="00107124">
        <w:rPr>
          <w:color w:val="auto"/>
        </w:rPr>
        <w:t xml:space="preserve"> l’avvio delle procedure di acquisizione dei servizi formativi, di viaggio e di soggiorno per i 1</w:t>
      </w:r>
      <w:r w:rsidR="00107124" w:rsidRPr="00107124">
        <w:rPr>
          <w:color w:val="auto"/>
        </w:rPr>
        <w:t>5 (16)</w:t>
      </w:r>
      <w:r w:rsidRPr="00107124">
        <w:rPr>
          <w:color w:val="auto"/>
        </w:rPr>
        <w:t xml:space="preserve"> alunni e i due docenti tutor</w:t>
      </w:r>
      <w:r w:rsidR="00107124" w:rsidRPr="00107124">
        <w:rPr>
          <w:color w:val="auto"/>
        </w:rPr>
        <w:t>/accompagnatori</w:t>
      </w:r>
      <w:r w:rsidRPr="00107124">
        <w:rPr>
          <w:color w:val="auto"/>
        </w:rPr>
        <w:t xml:space="preserve"> nel progetto di mobilità in Irlanda. In base alle esperienze precedenti emerge l’esigenza di prendere in considerazione esclusivamente la sistemazione in </w:t>
      </w:r>
      <w:proofErr w:type="gramStart"/>
      <w:r w:rsidRPr="00107124">
        <w:rPr>
          <w:color w:val="auto"/>
        </w:rPr>
        <w:t>College  e</w:t>
      </w:r>
      <w:proofErr w:type="gramEnd"/>
      <w:r w:rsidRPr="00107124">
        <w:rPr>
          <w:color w:val="auto"/>
        </w:rPr>
        <w:t xml:space="preserve"> di affidare tramite RDO </w:t>
      </w:r>
      <w:proofErr w:type="spellStart"/>
      <w:r w:rsidRPr="00107124">
        <w:rPr>
          <w:color w:val="auto"/>
        </w:rPr>
        <w:t>Me.Pa</w:t>
      </w:r>
      <w:proofErr w:type="spellEnd"/>
      <w:r w:rsidRPr="00107124">
        <w:rPr>
          <w:color w:val="auto"/>
        </w:rPr>
        <w:t xml:space="preserve"> all’Agenzia  che presenterà  la migliore nel rapporto qualità prezzo</w:t>
      </w:r>
      <w:r w:rsidR="00F23A20" w:rsidRPr="00107124">
        <w:rPr>
          <w:color w:val="auto"/>
        </w:rPr>
        <w:t xml:space="preserve"> il pacchetto completo comprensivo di formazione, viaggio e soggiorno</w:t>
      </w:r>
      <w:r w:rsidRPr="00107124">
        <w:rPr>
          <w:color w:val="auto"/>
        </w:rPr>
        <w:t>.</w:t>
      </w:r>
    </w:p>
    <w:p w:rsidR="00107124" w:rsidRPr="00107124" w:rsidRDefault="00107124" w:rsidP="00107124">
      <w:pPr>
        <w:pStyle w:val="Default"/>
        <w:spacing w:line="276" w:lineRule="auto"/>
        <w:jc w:val="both"/>
        <w:rPr>
          <w:color w:val="auto"/>
        </w:rPr>
      </w:pPr>
      <w:r w:rsidRPr="00107124">
        <w:rPr>
          <w:color w:val="auto"/>
        </w:rPr>
        <w:t>Dopo ampia discussione, il Con</w:t>
      </w:r>
      <w:bookmarkStart w:id="0" w:name="_GoBack"/>
      <w:bookmarkEnd w:id="0"/>
      <w:r w:rsidRPr="00107124">
        <w:rPr>
          <w:color w:val="auto"/>
        </w:rPr>
        <w:t xml:space="preserve">siglio all’unanimità dei presenti </w:t>
      </w:r>
    </w:p>
    <w:p w:rsidR="00107124" w:rsidRPr="00107124" w:rsidRDefault="00107124" w:rsidP="00107124">
      <w:pPr>
        <w:pStyle w:val="Default"/>
        <w:spacing w:line="276" w:lineRule="auto"/>
        <w:jc w:val="center"/>
        <w:rPr>
          <w:b/>
          <w:color w:val="auto"/>
        </w:rPr>
      </w:pPr>
      <w:proofErr w:type="gramStart"/>
      <w:r w:rsidRPr="00107124">
        <w:rPr>
          <w:b/>
          <w:color w:val="auto"/>
        </w:rPr>
        <w:t>delibera</w:t>
      </w:r>
      <w:proofErr w:type="gramEnd"/>
    </w:p>
    <w:p w:rsidR="00107124" w:rsidRPr="00107124" w:rsidRDefault="00107124" w:rsidP="00107124">
      <w:pPr>
        <w:pStyle w:val="Default"/>
        <w:spacing w:line="276" w:lineRule="auto"/>
        <w:jc w:val="both"/>
        <w:rPr>
          <w:color w:val="auto"/>
        </w:rPr>
      </w:pPr>
      <w:proofErr w:type="gramStart"/>
      <w:r w:rsidRPr="00107124">
        <w:rPr>
          <w:color w:val="auto"/>
        </w:rPr>
        <w:t>quanto</w:t>
      </w:r>
      <w:proofErr w:type="gramEnd"/>
      <w:r w:rsidRPr="00107124">
        <w:rPr>
          <w:color w:val="auto"/>
        </w:rPr>
        <w:t xml:space="preserve"> segue:</w:t>
      </w:r>
    </w:p>
    <w:p w:rsidR="00107124" w:rsidRPr="00107124" w:rsidRDefault="00107124" w:rsidP="00107124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</w:rPr>
      </w:pPr>
      <w:proofErr w:type="gramStart"/>
      <w:r w:rsidRPr="00107124">
        <w:rPr>
          <w:color w:val="auto"/>
        </w:rPr>
        <w:t>affidamento</w:t>
      </w:r>
      <w:proofErr w:type="gramEnd"/>
      <w:r w:rsidRPr="00107124">
        <w:rPr>
          <w:color w:val="auto"/>
        </w:rPr>
        <w:t xml:space="preserve"> del servizio di viaggio, soggiorno e formazione tramite </w:t>
      </w:r>
      <w:r w:rsidRPr="00107124">
        <w:rPr>
          <w:color w:val="auto"/>
        </w:rPr>
        <w:t xml:space="preserve">RDO </w:t>
      </w:r>
      <w:r w:rsidRPr="00107124">
        <w:rPr>
          <w:color w:val="auto"/>
        </w:rPr>
        <w:t xml:space="preserve">sul </w:t>
      </w:r>
      <w:proofErr w:type="spellStart"/>
      <w:r w:rsidRPr="00107124">
        <w:rPr>
          <w:color w:val="auto"/>
        </w:rPr>
        <w:t>Me.Pa</w:t>
      </w:r>
      <w:proofErr w:type="spellEnd"/>
      <w:r w:rsidRPr="00107124">
        <w:rPr>
          <w:color w:val="auto"/>
        </w:rPr>
        <w:t>;</w:t>
      </w:r>
    </w:p>
    <w:p w:rsidR="00797510" w:rsidRPr="00107124" w:rsidRDefault="00107124" w:rsidP="00107124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</w:rPr>
      </w:pPr>
      <w:proofErr w:type="gramStart"/>
      <w:r w:rsidRPr="00107124">
        <w:rPr>
          <w:color w:val="auto"/>
        </w:rPr>
        <w:t>c</w:t>
      </w:r>
      <w:r w:rsidR="00F23A20" w:rsidRPr="00107124">
        <w:rPr>
          <w:color w:val="auto"/>
        </w:rPr>
        <w:t>irca</w:t>
      </w:r>
      <w:proofErr w:type="gramEnd"/>
      <w:r w:rsidR="00F23A20" w:rsidRPr="00107124">
        <w:rPr>
          <w:color w:val="auto"/>
        </w:rPr>
        <w:t xml:space="preserve"> i criteri di reclutamento, nel disciplinare di gara saranno esplicitati i requisiti di cui dovranno essere in possesso i </w:t>
      </w:r>
      <w:r w:rsidR="00265EDB" w:rsidRPr="00107124">
        <w:rPr>
          <w:color w:val="auto"/>
        </w:rPr>
        <w:t xml:space="preserve">docenti madrelingua qualificati all’insegnamento della lingua agli stranieri ai fini del successivo conseguimento  di certificazione linguistica finale di livello B2 Common </w:t>
      </w:r>
      <w:proofErr w:type="spellStart"/>
      <w:r w:rsidR="00265EDB" w:rsidRPr="00107124">
        <w:rPr>
          <w:color w:val="auto"/>
        </w:rPr>
        <w:t>European</w:t>
      </w:r>
      <w:proofErr w:type="spellEnd"/>
      <w:r w:rsidR="00265EDB" w:rsidRPr="00107124">
        <w:rPr>
          <w:color w:val="auto"/>
        </w:rPr>
        <w:t xml:space="preserve"> Framework of Reference for </w:t>
      </w:r>
      <w:proofErr w:type="spellStart"/>
      <w:r w:rsidR="00265EDB" w:rsidRPr="00107124">
        <w:rPr>
          <w:color w:val="auto"/>
        </w:rPr>
        <w:t>Languages</w:t>
      </w:r>
      <w:proofErr w:type="spellEnd"/>
      <w:r w:rsidR="00265EDB" w:rsidRPr="00107124">
        <w:rPr>
          <w:color w:val="auto"/>
        </w:rPr>
        <w:t xml:space="preserve"> (CEFR)</w:t>
      </w:r>
      <w:r w:rsidRPr="00107124">
        <w:rPr>
          <w:color w:val="auto"/>
        </w:rPr>
        <w:t>;</w:t>
      </w:r>
    </w:p>
    <w:p w:rsidR="00107124" w:rsidRPr="00107124" w:rsidRDefault="00107124" w:rsidP="00107124">
      <w:pPr>
        <w:pStyle w:val="Default"/>
        <w:numPr>
          <w:ilvl w:val="0"/>
          <w:numId w:val="20"/>
        </w:numPr>
        <w:spacing w:line="276" w:lineRule="auto"/>
        <w:jc w:val="both"/>
        <w:rPr>
          <w:color w:val="auto"/>
        </w:rPr>
      </w:pPr>
      <w:proofErr w:type="gramStart"/>
      <w:r w:rsidRPr="00107124">
        <w:rPr>
          <w:color w:val="auto"/>
        </w:rPr>
        <w:t>sistemazione</w:t>
      </w:r>
      <w:proofErr w:type="gramEnd"/>
      <w:r w:rsidRPr="00107124">
        <w:rPr>
          <w:color w:val="auto"/>
        </w:rPr>
        <w:t xml:space="preserve"> prioritariamente in college.</w:t>
      </w:r>
    </w:p>
    <w:p w:rsidR="00797510" w:rsidRPr="00E67F60" w:rsidRDefault="00797510" w:rsidP="00E67F60">
      <w:pPr>
        <w:pStyle w:val="Default"/>
        <w:spacing w:line="276" w:lineRule="auto"/>
        <w:ind w:left="720"/>
        <w:jc w:val="both"/>
        <w:rPr>
          <w:b/>
          <w:color w:val="auto"/>
          <w:u w:val="single"/>
        </w:rPr>
      </w:pPr>
    </w:p>
    <w:p w:rsidR="00E67F60" w:rsidRPr="00E67F60" w:rsidRDefault="00E67F60" w:rsidP="00E67F60">
      <w:pPr>
        <w:pStyle w:val="Default"/>
        <w:numPr>
          <w:ilvl w:val="0"/>
          <w:numId w:val="18"/>
        </w:numPr>
        <w:spacing w:line="276" w:lineRule="auto"/>
        <w:jc w:val="both"/>
        <w:rPr>
          <w:rFonts w:eastAsia="Times New Roman"/>
        </w:rPr>
      </w:pPr>
      <w:r w:rsidRPr="00E67F60">
        <w:rPr>
          <w:b/>
          <w:color w:val="auto"/>
          <w:u w:val="single"/>
        </w:rPr>
        <w:t xml:space="preserve">Contributi scolastici per </w:t>
      </w:r>
      <w:proofErr w:type="spellStart"/>
      <w:r w:rsidRPr="00E67F60">
        <w:rPr>
          <w:b/>
          <w:color w:val="auto"/>
          <w:u w:val="single"/>
        </w:rPr>
        <w:t>l’a.s.</w:t>
      </w:r>
      <w:proofErr w:type="spellEnd"/>
      <w:r w:rsidRPr="00E67F60">
        <w:rPr>
          <w:b/>
          <w:color w:val="auto"/>
          <w:u w:val="single"/>
        </w:rPr>
        <w:t xml:space="preserve"> 2019/2020 (delibera n. 74)</w:t>
      </w:r>
    </w:p>
    <w:p w:rsidR="00F5526F" w:rsidRDefault="00560482" w:rsidP="00560482">
      <w:pPr>
        <w:pStyle w:val="Default"/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t xml:space="preserve">Il Consiglio discute sui contributi liberali da chiedere alle famiglie per il prossimo anno scolastico. </w:t>
      </w:r>
      <w:r w:rsidR="00C656A2">
        <w:rPr>
          <w:rFonts w:eastAsia="Times New Roman"/>
        </w:rPr>
        <w:t>Co</w:t>
      </w:r>
      <w:r>
        <w:rPr>
          <w:rFonts w:eastAsia="Times New Roman"/>
        </w:rPr>
        <w:t>munica che anche nel corrente anno la quota versata è stata molto esigua.</w:t>
      </w:r>
    </w:p>
    <w:p w:rsidR="00560482" w:rsidRDefault="00560482" w:rsidP="00560482">
      <w:pPr>
        <w:pStyle w:val="Default"/>
        <w:spacing w:line="276" w:lineRule="auto"/>
        <w:jc w:val="both"/>
        <w:rPr>
          <w:rFonts w:eastAsia="Times New Roman"/>
        </w:rPr>
      </w:pPr>
      <w:r>
        <w:rPr>
          <w:rFonts w:eastAsia="Times New Roman"/>
        </w:rPr>
        <w:lastRenderedPageBreak/>
        <w:t xml:space="preserve">Propone la conferma della quota stabilita nel precedente anno. Il Consiglio approva e all’unanimità </w:t>
      </w:r>
    </w:p>
    <w:p w:rsidR="00560482" w:rsidRPr="00560482" w:rsidRDefault="00560482" w:rsidP="00560482">
      <w:pPr>
        <w:pStyle w:val="Default"/>
        <w:spacing w:line="276" w:lineRule="auto"/>
        <w:jc w:val="center"/>
        <w:rPr>
          <w:rFonts w:eastAsia="Times New Roman"/>
          <w:b/>
        </w:rPr>
      </w:pPr>
      <w:proofErr w:type="gramStart"/>
      <w:r w:rsidRPr="00560482">
        <w:rPr>
          <w:rFonts w:eastAsia="Times New Roman"/>
          <w:b/>
        </w:rPr>
        <w:t>delibera</w:t>
      </w:r>
      <w:proofErr w:type="gramEnd"/>
    </w:p>
    <w:p w:rsidR="00F3072B" w:rsidRDefault="00560482" w:rsidP="00F3072B">
      <w:pPr>
        <w:pStyle w:val="Default"/>
        <w:spacing w:line="276" w:lineRule="auto"/>
        <w:jc w:val="both"/>
        <w:rPr>
          <w:color w:val="auto"/>
        </w:rPr>
      </w:pPr>
      <w:proofErr w:type="gramStart"/>
      <w:r>
        <w:rPr>
          <w:color w:val="auto"/>
        </w:rPr>
        <w:t>i</w:t>
      </w:r>
      <w:proofErr w:type="gramEnd"/>
      <w:r>
        <w:rPr>
          <w:color w:val="auto"/>
        </w:rPr>
        <w:t xml:space="preserve"> seguenti contributi scolastici per </w:t>
      </w:r>
      <w:proofErr w:type="spellStart"/>
      <w:r>
        <w:rPr>
          <w:color w:val="auto"/>
        </w:rPr>
        <w:t>l’a.s.</w:t>
      </w:r>
      <w:proofErr w:type="spellEnd"/>
      <w:r>
        <w:rPr>
          <w:color w:val="auto"/>
        </w:rPr>
        <w:t xml:space="preserve"> 2019/2020:</w:t>
      </w:r>
    </w:p>
    <w:p w:rsidR="00560482" w:rsidRDefault="00560482" w:rsidP="00560482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</w:rPr>
      </w:pPr>
      <w:r>
        <w:rPr>
          <w:color w:val="auto"/>
        </w:rPr>
        <w:t>60,00 euro per il Liceo artistico</w:t>
      </w:r>
    </w:p>
    <w:p w:rsidR="00560482" w:rsidRDefault="00560482" w:rsidP="00560482">
      <w:pPr>
        <w:pStyle w:val="Default"/>
        <w:numPr>
          <w:ilvl w:val="0"/>
          <w:numId w:val="19"/>
        </w:numPr>
        <w:spacing w:line="276" w:lineRule="auto"/>
        <w:jc w:val="both"/>
        <w:rPr>
          <w:color w:val="auto"/>
        </w:rPr>
      </w:pPr>
      <w:r>
        <w:rPr>
          <w:color w:val="auto"/>
        </w:rPr>
        <w:t>80,00 euro per il Liceo coreutico, in considerazione del maggior aggravio di spese dovute alla convenzione con l’Accademia Nazionale di Danza di Roma.</w:t>
      </w:r>
    </w:p>
    <w:p w:rsidR="00560482" w:rsidRPr="00F3072B" w:rsidRDefault="00560482" w:rsidP="00560482">
      <w:pPr>
        <w:pStyle w:val="Default"/>
        <w:spacing w:line="276" w:lineRule="auto"/>
        <w:ind w:left="720"/>
        <w:jc w:val="both"/>
        <w:rPr>
          <w:color w:val="auto"/>
        </w:rPr>
      </w:pPr>
    </w:p>
    <w:p w:rsidR="00082793" w:rsidRPr="00082793" w:rsidRDefault="00082793" w:rsidP="00E67F60">
      <w:pPr>
        <w:pStyle w:val="Default"/>
        <w:numPr>
          <w:ilvl w:val="0"/>
          <w:numId w:val="18"/>
        </w:numPr>
        <w:spacing w:line="276" w:lineRule="auto"/>
        <w:jc w:val="both"/>
        <w:rPr>
          <w:b/>
          <w:color w:val="auto"/>
          <w:u w:val="single"/>
        </w:rPr>
      </w:pPr>
      <w:r w:rsidRPr="00082793">
        <w:rPr>
          <w:b/>
          <w:color w:val="auto"/>
          <w:u w:val="single"/>
        </w:rPr>
        <w:t xml:space="preserve">Comunicazioni del Dirigente. </w:t>
      </w:r>
    </w:p>
    <w:p w:rsidR="002A6B3C" w:rsidRPr="00AF5741" w:rsidRDefault="002A6B3C" w:rsidP="00AC3ECA">
      <w:pPr>
        <w:rPr>
          <w:b w:val="0"/>
          <w:szCs w:val="24"/>
          <w:u w:val="single"/>
        </w:rPr>
      </w:pPr>
    </w:p>
    <w:p w:rsidR="003457C7" w:rsidRDefault="00F3072B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>
        <w:rPr>
          <w:b w:val="0"/>
          <w:szCs w:val="24"/>
        </w:rPr>
        <w:t>La dirigente informa il Consiglio su</w:t>
      </w:r>
      <w:r w:rsidR="003457C7">
        <w:rPr>
          <w:b w:val="0"/>
          <w:szCs w:val="24"/>
        </w:rPr>
        <w:t xml:space="preserve">lla prossima apertura il 23 maggio della Mostra ‘The </w:t>
      </w:r>
      <w:proofErr w:type="spellStart"/>
      <w:r w:rsidR="003457C7">
        <w:rPr>
          <w:b w:val="0"/>
          <w:szCs w:val="24"/>
        </w:rPr>
        <w:t>deep</w:t>
      </w:r>
      <w:proofErr w:type="spellEnd"/>
      <w:r w:rsidR="003457C7">
        <w:rPr>
          <w:b w:val="0"/>
          <w:szCs w:val="24"/>
        </w:rPr>
        <w:t xml:space="preserve"> sound’ presso la Fondazione Palmieri, esito finale di un progetto pluridisciplinare sull’autoritratto in antitesi al </w:t>
      </w:r>
      <w:proofErr w:type="spellStart"/>
      <w:r w:rsidR="003457C7">
        <w:rPr>
          <w:b w:val="0"/>
          <w:szCs w:val="24"/>
        </w:rPr>
        <w:t>selfie</w:t>
      </w:r>
      <w:proofErr w:type="spellEnd"/>
      <w:r w:rsidR="003457C7">
        <w:rPr>
          <w:b w:val="0"/>
          <w:szCs w:val="24"/>
        </w:rPr>
        <w:t xml:space="preserve"> che ha coinvolto numerose classi di biennio e di triennio, curato dai proff. </w:t>
      </w:r>
      <w:proofErr w:type="spellStart"/>
      <w:r w:rsidR="003457C7">
        <w:rPr>
          <w:b w:val="0"/>
          <w:szCs w:val="24"/>
        </w:rPr>
        <w:t>Gianna</w:t>
      </w:r>
      <w:r w:rsidR="009116EB">
        <w:rPr>
          <w:b w:val="0"/>
          <w:szCs w:val="24"/>
        </w:rPr>
        <w:t>n</w:t>
      </w:r>
      <w:r w:rsidR="003457C7">
        <w:rPr>
          <w:b w:val="0"/>
          <w:szCs w:val="24"/>
        </w:rPr>
        <w:t>dr</w:t>
      </w:r>
      <w:r w:rsidR="009116EB">
        <w:rPr>
          <w:b w:val="0"/>
          <w:szCs w:val="24"/>
        </w:rPr>
        <w:t>e</w:t>
      </w:r>
      <w:r w:rsidR="003457C7">
        <w:rPr>
          <w:b w:val="0"/>
          <w:szCs w:val="24"/>
        </w:rPr>
        <w:t>a</w:t>
      </w:r>
      <w:proofErr w:type="spellEnd"/>
      <w:r w:rsidR="003457C7">
        <w:rPr>
          <w:b w:val="0"/>
          <w:szCs w:val="24"/>
        </w:rPr>
        <w:t>, De Giorgi V. e Stigliano.</w:t>
      </w:r>
    </w:p>
    <w:p w:rsidR="003457C7" w:rsidRDefault="003457C7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>
        <w:rPr>
          <w:b w:val="0"/>
          <w:szCs w:val="24"/>
        </w:rPr>
        <w:t xml:space="preserve">Invita il Consiglio </w:t>
      </w:r>
      <w:proofErr w:type="spellStart"/>
      <w:r>
        <w:rPr>
          <w:b w:val="0"/>
          <w:szCs w:val="24"/>
        </w:rPr>
        <w:t>alla’inaugurazione</w:t>
      </w:r>
      <w:proofErr w:type="spellEnd"/>
      <w:r>
        <w:rPr>
          <w:b w:val="0"/>
          <w:szCs w:val="24"/>
        </w:rPr>
        <w:t xml:space="preserve"> e alla visita della mostra molto interessante.</w:t>
      </w:r>
    </w:p>
    <w:p w:rsidR="003457C7" w:rsidRDefault="003457C7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</w:p>
    <w:p w:rsidR="00640EAC" w:rsidRPr="00640EAC" w:rsidRDefault="00640EA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640EAC">
        <w:rPr>
          <w:b w:val="0"/>
          <w:szCs w:val="24"/>
        </w:rPr>
        <w:t xml:space="preserve">La seduta è tolta alle ore </w:t>
      </w:r>
      <w:r w:rsidR="00666A78">
        <w:rPr>
          <w:b w:val="0"/>
          <w:szCs w:val="24"/>
        </w:rPr>
        <w:t>18.30</w:t>
      </w:r>
      <w:r w:rsidR="00377385">
        <w:rPr>
          <w:b w:val="0"/>
          <w:szCs w:val="24"/>
        </w:rPr>
        <w:t>.</w:t>
      </w:r>
    </w:p>
    <w:p w:rsidR="00640EAC" w:rsidRPr="00640EAC" w:rsidRDefault="00640EA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</w:p>
    <w:p w:rsidR="00640EAC" w:rsidRDefault="00640EAC" w:rsidP="00C41CB4">
      <w:pPr>
        <w:spacing w:line="276" w:lineRule="auto"/>
        <w:ind w:right="282"/>
        <w:rPr>
          <w:b w:val="0"/>
          <w:szCs w:val="24"/>
        </w:rPr>
      </w:pPr>
      <w:r w:rsidRPr="00640EAC">
        <w:rPr>
          <w:b w:val="0"/>
          <w:szCs w:val="24"/>
        </w:rPr>
        <w:t xml:space="preserve">Il Segretario Verbalizzante                        </w:t>
      </w:r>
      <w:r w:rsidR="00E67F60">
        <w:rPr>
          <w:b w:val="0"/>
          <w:szCs w:val="24"/>
        </w:rPr>
        <w:t xml:space="preserve">Il </w:t>
      </w:r>
      <w:proofErr w:type="spellStart"/>
      <w:r w:rsidR="00E67F60">
        <w:rPr>
          <w:b w:val="0"/>
          <w:szCs w:val="24"/>
        </w:rPr>
        <w:t>Vice</w:t>
      </w:r>
      <w:r w:rsidRPr="00640EAC">
        <w:rPr>
          <w:b w:val="0"/>
          <w:szCs w:val="24"/>
        </w:rPr>
        <w:t>Presidente</w:t>
      </w:r>
      <w:proofErr w:type="spellEnd"/>
      <w:r w:rsidRPr="00640EAC">
        <w:rPr>
          <w:b w:val="0"/>
          <w:szCs w:val="24"/>
        </w:rPr>
        <w:t xml:space="preserve"> del Consiglio d’Istituto</w:t>
      </w:r>
    </w:p>
    <w:p w:rsidR="00640EAC" w:rsidRPr="00EB058A" w:rsidRDefault="00640EAC" w:rsidP="00082793">
      <w:pPr>
        <w:spacing w:line="276" w:lineRule="auto"/>
        <w:ind w:right="282"/>
        <w:rPr>
          <w:b w:val="0"/>
          <w:sz w:val="25"/>
          <w:szCs w:val="25"/>
          <w:u w:val="single"/>
        </w:rPr>
      </w:pPr>
      <w:r w:rsidRPr="006318FB">
        <w:rPr>
          <w:b w:val="0"/>
          <w:szCs w:val="24"/>
        </w:rPr>
        <w:t xml:space="preserve">(Prof. Gilberto </w:t>
      </w:r>
      <w:proofErr w:type="gramStart"/>
      <w:r w:rsidRPr="006318FB">
        <w:rPr>
          <w:b w:val="0"/>
          <w:szCs w:val="24"/>
        </w:rPr>
        <w:t xml:space="preserve">Olita)   </w:t>
      </w:r>
      <w:proofErr w:type="gramEnd"/>
      <w:r w:rsidR="00B04EC3">
        <w:rPr>
          <w:b w:val="0"/>
          <w:szCs w:val="24"/>
        </w:rPr>
        <w:tab/>
      </w:r>
      <w:r w:rsidR="00B04EC3">
        <w:rPr>
          <w:b w:val="0"/>
          <w:szCs w:val="24"/>
        </w:rPr>
        <w:tab/>
      </w:r>
      <w:r w:rsidR="00B04EC3">
        <w:rPr>
          <w:b w:val="0"/>
          <w:szCs w:val="24"/>
        </w:rPr>
        <w:tab/>
      </w:r>
      <w:r w:rsidR="00B04EC3">
        <w:rPr>
          <w:b w:val="0"/>
          <w:szCs w:val="24"/>
        </w:rPr>
        <w:tab/>
      </w:r>
      <w:r w:rsidRPr="00640EAC">
        <w:rPr>
          <w:b w:val="0"/>
          <w:szCs w:val="24"/>
        </w:rPr>
        <w:t>(Sig.</w:t>
      </w:r>
      <w:r w:rsidR="00E67F60">
        <w:rPr>
          <w:b w:val="0"/>
          <w:szCs w:val="24"/>
        </w:rPr>
        <w:t xml:space="preserve"> Giuseppe Tondo</w:t>
      </w:r>
      <w:r w:rsidR="00527CF4">
        <w:rPr>
          <w:b w:val="0"/>
          <w:szCs w:val="24"/>
        </w:rPr>
        <w:t>)</w:t>
      </w:r>
    </w:p>
    <w:p w:rsidR="00EB058A" w:rsidRPr="009B2C95" w:rsidRDefault="00EB058A" w:rsidP="00C41CB4">
      <w:pPr>
        <w:spacing w:line="276" w:lineRule="auto"/>
        <w:jc w:val="left"/>
        <w:rPr>
          <w:b w:val="0"/>
          <w:szCs w:val="24"/>
        </w:rPr>
      </w:pPr>
    </w:p>
    <w:sectPr w:rsidR="00EB058A" w:rsidRPr="009B2C95" w:rsidSect="003C6E28">
      <w:footerReference w:type="even" r:id="rId7"/>
      <w:footerReference w:type="default" r:id="rId8"/>
      <w:pgSz w:w="11906" w:h="16838"/>
      <w:pgMar w:top="709" w:right="1558" w:bottom="567" w:left="1418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EDB" w:rsidRDefault="00265EDB" w:rsidP="005A1AD1">
      <w:r>
        <w:separator/>
      </w:r>
    </w:p>
  </w:endnote>
  <w:endnote w:type="continuationSeparator" w:id="0">
    <w:p w:rsidR="00265EDB" w:rsidRDefault="00265EDB" w:rsidP="005A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DB" w:rsidRDefault="00265ED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265EDB" w:rsidRDefault="00265EDB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5EDB" w:rsidRDefault="00265EDB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107124">
      <w:rPr>
        <w:rStyle w:val="Numeropagina"/>
        <w:rFonts w:ascii="Arial" w:hAnsi="Arial" w:cs="Arial"/>
        <w:b w:val="0"/>
        <w:noProof/>
        <w:sz w:val="16"/>
        <w:szCs w:val="16"/>
      </w:rPr>
      <w:t>4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:rsidR="00265EDB" w:rsidRDefault="00265EDB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EDB" w:rsidRDefault="00265EDB" w:rsidP="005A1AD1">
      <w:r>
        <w:separator/>
      </w:r>
    </w:p>
  </w:footnote>
  <w:footnote w:type="continuationSeparator" w:id="0">
    <w:p w:rsidR="00265EDB" w:rsidRDefault="00265EDB" w:rsidP="005A1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D46E5"/>
    <w:multiLevelType w:val="hybridMultilevel"/>
    <w:tmpl w:val="948C2B5A"/>
    <w:lvl w:ilvl="0" w:tplc="758E3DE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F390B"/>
    <w:multiLevelType w:val="hybridMultilevel"/>
    <w:tmpl w:val="1122B650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20076"/>
    <w:multiLevelType w:val="hybridMultilevel"/>
    <w:tmpl w:val="15C691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5C92"/>
    <w:multiLevelType w:val="hybridMultilevel"/>
    <w:tmpl w:val="D8D02192"/>
    <w:lvl w:ilvl="0" w:tplc="5C4A05D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F117A"/>
    <w:multiLevelType w:val="hybridMultilevel"/>
    <w:tmpl w:val="19C60FE6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E4614D4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DD329C"/>
    <w:multiLevelType w:val="hybridMultilevel"/>
    <w:tmpl w:val="E5AA6F5C"/>
    <w:lvl w:ilvl="0" w:tplc="8488B77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5"/>
      </w:rPr>
    </w:lvl>
    <w:lvl w:ilvl="1" w:tplc="AA483422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CA5F1A"/>
    <w:multiLevelType w:val="hybridMultilevel"/>
    <w:tmpl w:val="18A8596A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21A2920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21BBD"/>
    <w:multiLevelType w:val="hybridMultilevel"/>
    <w:tmpl w:val="15C691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91D59"/>
    <w:multiLevelType w:val="hybridMultilevel"/>
    <w:tmpl w:val="E5B8452A"/>
    <w:lvl w:ilvl="0" w:tplc="74008FE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D5565"/>
    <w:multiLevelType w:val="hybridMultilevel"/>
    <w:tmpl w:val="EF2CFADC"/>
    <w:lvl w:ilvl="0" w:tplc="8F74C5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60F8A"/>
    <w:multiLevelType w:val="hybridMultilevel"/>
    <w:tmpl w:val="53987BE0"/>
    <w:lvl w:ilvl="0" w:tplc="8EF6F9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9016E6"/>
    <w:multiLevelType w:val="hybridMultilevel"/>
    <w:tmpl w:val="49743A20"/>
    <w:lvl w:ilvl="0" w:tplc="3BD6D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8615B1"/>
    <w:multiLevelType w:val="hybridMultilevel"/>
    <w:tmpl w:val="6ACA43E0"/>
    <w:lvl w:ilvl="0" w:tplc="625C012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 w:val="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3B64A6"/>
    <w:multiLevelType w:val="hybridMultilevel"/>
    <w:tmpl w:val="E7761562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750AD9"/>
    <w:multiLevelType w:val="hybridMultilevel"/>
    <w:tmpl w:val="3A264078"/>
    <w:lvl w:ilvl="0" w:tplc="55F40E2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FC43E5"/>
    <w:multiLevelType w:val="hybridMultilevel"/>
    <w:tmpl w:val="49743A20"/>
    <w:lvl w:ilvl="0" w:tplc="3BD6D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D90D20"/>
    <w:multiLevelType w:val="hybridMultilevel"/>
    <w:tmpl w:val="FC2CC7C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7A02A2"/>
    <w:multiLevelType w:val="hybridMultilevel"/>
    <w:tmpl w:val="2A72A462"/>
    <w:lvl w:ilvl="0" w:tplc="8EF6F9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326315"/>
    <w:multiLevelType w:val="hybridMultilevel"/>
    <w:tmpl w:val="2A72A462"/>
    <w:lvl w:ilvl="0" w:tplc="8EF6F9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D95FFD"/>
    <w:multiLevelType w:val="hybridMultilevel"/>
    <w:tmpl w:val="C2BADA78"/>
    <w:lvl w:ilvl="0" w:tplc="78DC2C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0"/>
  </w:num>
  <w:num w:numId="3">
    <w:abstractNumId w:val="18"/>
  </w:num>
  <w:num w:numId="4">
    <w:abstractNumId w:val="0"/>
  </w:num>
  <w:num w:numId="5">
    <w:abstractNumId w:val="9"/>
  </w:num>
  <w:num w:numId="6">
    <w:abstractNumId w:val="19"/>
  </w:num>
  <w:num w:numId="7">
    <w:abstractNumId w:val="11"/>
  </w:num>
  <w:num w:numId="8">
    <w:abstractNumId w:val="1"/>
  </w:num>
  <w:num w:numId="9">
    <w:abstractNumId w:val="6"/>
  </w:num>
  <w:num w:numId="10">
    <w:abstractNumId w:val="13"/>
  </w:num>
  <w:num w:numId="11">
    <w:abstractNumId w:val="4"/>
  </w:num>
  <w:num w:numId="12">
    <w:abstractNumId w:val="2"/>
  </w:num>
  <w:num w:numId="13">
    <w:abstractNumId w:val="7"/>
  </w:num>
  <w:num w:numId="14">
    <w:abstractNumId w:val="8"/>
  </w:num>
  <w:num w:numId="15">
    <w:abstractNumId w:val="15"/>
  </w:num>
  <w:num w:numId="16">
    <w:abstractNumId w:val="16"/>
  </w:num>
  <w:num w:numId="17">
    <w:abstractNumId w:val="17"/>
  </w:num>
  <w:num w:numId="18">
    <w:abstractNumId w:val="14"/>
  </w:num>
  <w:num w:numId="19">
    <w:abstractNumId w:val="3"/>
  </w:num>
  <w:num w:numId="20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D1"/>
    <w:rsid w:val="000042B0"/>
    <w:rsid w:val="0000772E"/>
    <w:rsid w:val="00013AE8"/>
    <w:rsid w:val="00022AD4"/>
    <w:rsid w:val="00025EAB"/>
    <w:rsid w:val="00031ED8"/>
    <w:rsid w:val="00034663"/>
    <w:rsid w:val="00037A70"/>
    <w:rsid w:val="0004075A"/>
    <w:rsid w:val="000458E3"/>
    <w:rsid w:val="00075F44"/>
    <w:rsid w:val="00077FC6"/>
    <w:rsid w:val="00082793"/>
    <w:rsid w:val="00084B79"/>
    <w:rsid w:val="000855E6"/>
    <w:rsid w:val="0008618E"/>
    <w:rsid w:val="00086CDF"/>
    <w:rsid w:val="000911B5"/>
    <w:rsid w:val="000961B2"/>
    <w:rsid w:val="000C1B78"/>
    <w:rsid w:val="000D1FAC"/>
    <w:rsid w:val="000E34CB"/>
    <w:rsid w:val="00107124"/>
    <w:rsid w:val="00113C2C"/>
    <w:rsid w:val="00115295"/>
    <w:rsid w:val="00132DF9"/>
    <w:rsid w:val="00155E31"/>
    <w:rsid w:val="001867DF"/>
    <w:rsid w:val="00195818"/>
    <w:rsid w:val="001B0FD6"/>
    <w:rsid w:val="001B6B9E"/>
    <w:rsid w:val="001C309B"/>
    <w:rsid w:val="001E7922"/>
    <w:rsid w:val="001F1FAE"/>
    <w:rsid w:val="00210F68"/>
    <w:rsid w:val="00224D8A"/>
    <w:rsid w:val="00225F50"/>
    <w:rsid w:val="00227DA9"/>
    <w:rsid w:val="0023264F"/>
    <w:rsid w:val="00232DD5"/>
    <w:rsid w:val="00243B58"/>
    <w:rsid w:val="002546B5"/>
    <w:rsid w:val="00265EDB"/>
    <w:rsid w:val="00286672"/>
    <w:rsid w:val="0029092C"/>
    <w:rsid w:val="002A4D3E"/>
    <w:rsid w:val="002A51E7"/>
    <w:rsid w:val="002A6B3C"/>
    <w:rsid w:val="002A76E7"/>
    <w:rsid w:val="002B3677"/>
    <w:rsid w:val="002B5CA9"/>
    <w:rsid w:val="002B692D"/>
    <w:rsid w:val="002C5F3F"/>
    <w:rsid w:val="002D061A"/>
    <w:rsid w:val="002D0E05"/>
    <w:rsid w:val="002E5926"/>
    <w:rsid w:val="002F71F0"/>
    <w:rsid w:val="003038D3"/>
    <w:rsid w:val="00304713"/>
    <w:rsid w:val="00311BA4"/>
    <w:rsid w:val="00331C64"/>
    <w:rsid w:val="00341F66"/>
    <w:rsid w:val="003457C7"/>
    <w:rsid w:val="0035724B"/>
    <w:rsid w:val="00360F0F"/>
    <w:rsid w:val="00371EF0"/>
    <w:rsid w:val="00377385"/>
    <w:rsid w:val="0037767A"/>
    <w:rsid w:val="003855B8"/>
    <w:rsid w:val="003953D7"/>
    <w:rsid w:val="00395438"/>
    <w:rsid w:val="003C6E28"/>
    <w:rsid w:val="003D6D5D"/>
    <w:rsid w:val="003E3E6D"/>
    <w:rsid w:val="003F3076"/>
    <w:rsid w:val="00424982"/>
    <w:rsid w:val="004312DC"/>
    <w:rsid w:val="004435B0"/>
    <w:rsid w:val="004503F9"/>
    <w:rsid w:val="00452E05"/>
    <w:rsid w:val="00455349"/>
    <w:rsid w:val="0045623B"/>
    <w:rsid w:val="0046789C"/>
    <w:rsid w:val="00473A51"/>
    <w:rsid w:val="0048066B"/>
    <w:rsid w:val="00495198"/>
    <w:rsid w:val="004A50AF"/>
    <w:rsid w:val="004C6EFB"/>
    <w:rsid w:val="004D0665"/>
    <w:rsid w:val="0051502A"/>
    <w:rsid w:val="00522772"/>
    <w:rsid w:val="005252FA"/>
    <w:rsid w:val="00527CF4"/>
    <w:rsid w:val="00551139"/>
    <w:rsid w:val="00560482"/>
    <w:rsid w:val="00566205"/>
    <w:rsid w:val="00570DF6"/>
    <w:rsid w:val="00586A81"/>
    <w:rsid w:val="00593A73"/>
    <w:rsid w:val="005975D8"/>
    <w:rsid w:val="005A1AD1"/>
    <w:rsid w:val="005D4731"/>
    <w:rsid w:val="005E12F1"/>
    <w:rsid w:val="005E71F1"/>
    <w:rsid w:val="005F2349"/>
    <w:rsid w:val="005F4FF2"/>
    <w:rsid w:val="005F7CC5"/>
    <w:rsid w:val="006318FB"/>
    <w:rsid w:val="00640EAC"/>
    <w:rsid w:val="00643A73"/>
    <w:rsid w:val="00654350"/>
    <w:rsid w:val="006564F5"/>
    <w:rsid w:val="00666A78"/>
    <w:rsid w:val="0067529D"/>
    <w:rsid w:val="00685008"/>
    <w:rsid w:val="006A560C"/>
    <w:rsid w:val="006B0444"/>
    <w:rsid w:val="006D74D1"/>
    <w:rsid w:val="006F4B61"/>
    <w:rsid w:val="00711D54"/>
    <w:rsid w:val="007126C6"/>
    <w:rsid w:val="00731454"/>
    <w:rsid w:val="0074565B"/>
    <w:rsid w:val="0075034E"/>
    <w:rsid w:val="00797510"/>
    <w:rsid w:val="007A61A1"/>
    <w:rsid w:val="007D1AA4"/>
    <w:rsid w:val="007D3C32"/>
    <w:rsid w:val="007F0EA4"/>
    <w:rsid w:val="007F3047"/>
    <w:rsid w:val="00803DB8"/>
    <w:rsid w:val="008111D7"/>
    <w:rsid w:val="00816888"/>
    <w:rsid w:val="00817515"/>
    <w:rsid w:val="00825FC8"/>
    <w:rsid w:val="00840CCF"/>
    <w:rsid w:val="00841DA1"/>
    <w:rsid w:val="00843A6F"/>
    <w:rsid w:val="00855D8E"/>
    <w:rsid w:val="00867ACA"/>
    <w:rsid w:val="00874B70"/>
    <w:rsid w:val="0088438B"/>
    <w:rsid w:val="00885A4B"/>
    <w:rsid w:val="00890A01"/>
    <w:rsid w:val="00896EE0"/>
    <w:rsid w:val="008B4B19"/>
    <w:rsid w:val="008B6AC1"/>
    <w:rsid w:val="008C2CC8"/>
    <w:rsid w:val="009116EB"/>
    <w:rsid w:val="009303CF"/>
    <w:rsid w:val="009372B0"/>
    <w:rsid w:val="00951A92"/>
    <w:rsid w:val="009526E9"/>
    <w:rsid w:val="00954FB2"/>
    <w:rsid w:val="00970318"/>
    <w:rsid w:val="009951B7"/>
    <w:rsid w:val="009A0D76"/>
    <w:rsid w:val="009B2C95"/>
    <w:rsid w:val="009D1D00"/>
    <w:rsid w:val="009D6555"/>
    <w:rsid w:val="00A10FC7"/>
    <w:rsid w:val="00A235EA"/>
    <w:rsid w:val="00A247C6"/>
    <w:rsid w:val="00A36EC7"/>
    <w:rsid w:val="00A37877"/>
    <w:rsid w:val="00A60364"/>
    <w:rsid w:val="00A72E52"/>
    <w:rsid w:val="00A73425"/>
    <w:rsid w:val="00A9262E"/>
    <w:rsid w:val="00A9617D"/>
    <w:rsid w:val="00AC0316"/>
    <w:rsid w:val="00AC2318"/>
    <w:rsid w:val="00AC3ECA"/>
    <w:rsid w:val="00AD19DC"/>
    <w:rsid w:val="00AE2D0A"/>
    <w:rsid w:val="00AE4E4F"/>
    <w:rsid w:val="00AE526A"/>
    <w:rsid w:val="00AF5741"/>
    <w:rsid w:val="00AF727D"/>
    <w:rsid w:val="00B04EC3"/>
    <w:rsid w:val="00B1003F"/>
    <w:rsid w:val="00B35D3D"/>
    <w:rsid w:val="00B41B3A"/>
    <w:rsid w:val="00B4482B"/>
    <w:rsid w:val="00B4523A"/>
    <w:rsid w:val="00B47B45"/>
    <w:rsid w:val="00B70B66"/>
    <w:rsid w:val="00B83162"/>
    <w:rsid w:val="00B85C79"/>
    <w:rsid w:val="00B9293E"/>
    <w:rsid w:val="00B95749"/>
    <w:rsid w:val="00BA22AE"/>
    <w:rsid w:val="00BA386A"/>
    <w:rsid w:val="00BD4742"/>
    <w:rsid w:val="00BE1810"/>
    <w:rsid w:val="00BE31E0"/>
    <w:rsid w:val="00C054C6"/>
    <w:rsid w:val="00C27806"/>
    <w:rsid w:val="00C27917"/>
    <w:rsid w:val="00C41CB4"/>
    <w:rsid w:val="00C44A65"/>
    <w:rsid w:val="00C64137"/>
    <w:rsid w:val="00C656A2"/>
    <w:rsid w:val="00C709E2"/>
    <w:rsid w:val="00C86DCE"/>
    <w:rsid w:val="00C879A7"/>
    <w:rsid w:val="00C94328"/>
    <w:rsid w:val="00CA08D3"/>
    <w:rsid w:val="00CB06E3"/>
    <w:rsid w:val="00CC5C4A"/>
    <w:rsid w:val="00CD2B3A"/>
    <w:rsid w:val="00CD4D20"/>
    <w:rsid w:val="00CD785B"/>
    <w:rsid w:val="00CE054B"/>
    <w:rsid w:val="00CE4B2A"/>
    <w:rsid w:val="00CF2063"/>
    <w:rsid w:val="00D0574F"/>
    <w:rsid w:val="00D11AF3"/>
    <w:rsid w:val="00D50C8E"/>
    <w:rsid w:val="00D50ED4"/>
    <w:rsid w:val="00D54DCE"/>
    <w:rsid w:val="00D63126"/>
    <w:rsid w:val="00D71D77"/>
    <w:rsid w:val="00D76A42"/>
    <w:rsid w:val="00D91CD2"/>
    <w:rsid w:val="00DB3CC4"/>
    <w:rsid w:val="00DC2F71"/>
    <w:rsid w:val="00DC7A8E"/>
    <w:rsid w:val="00DF71B5"/>
    <w:rsid w:val="00E02DA9"/>
    <w:rsid w:val="00E41202"/>
    <w:rsid w:val="00E43E5B"/>
    <w:rsid w:val="00E67F60"/>
    <w:rsid w:val="00E83E13"/>
    <w:rsid w:val="00E86094"/>
    <w:rsid w:val="00EA0C0F"/>
    <w:rsid w:val="00EA368D"/>
    <w:rsid w:val="00EA76CE"/>
    <w:rsid w:val="00EB058A"/>
    <w:rsid w:val="00EB19D7"/>
    <w:rsid w:val="00EC0890"/>
    <w:rsid w:val="00EC5999"/>
    <w:rsid w:val="00EE3B87"/>
    <w:rsid w:val="00F047D4"/>
    <w:rsid w:val="00F06168"/>
    <w:rsid w:val="00F11067"/>
    <w:rsid w:val="00F23A20"/>
    <w:rsid w:val="00F2729E"/>
    <w:rsid w:val="00F3072B"/>
    <w:rsid w:val="00F33F14"/>
    <w:rsid w:val="00F36D17"/>
    <w:rsid w:val="00F37C18"/>
    <w:rsid w:val="00F502B9"/>
    <w:rsid w:val="00F50902"/>
    <w:rsid w:val="00F5526F"/>
    <w:rsid w:val="00F62506"/>
    <w:rsid w:val="00F850A4"/>
    <w:rsid w:val="00FA48E7"/>
    <w:rsid w:val="00FD7DC0"/>
    <w:rsid w:val="00FE342B"/>
    <w:rsid w:val="00FE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5"/>
    <o:shapelayout v:ext="edit">
      <o:idmap v:ext="edit" data="1"/>
    </o:shapelayout>
  </w:shapeDefaults>
  <w:decimalSymbol w:val=","/>
  <w:listSeparator w:val=";"/>
  <w15:docId w15:val="{4F6F8E84-B3C6-482D-B0D8-B4285CD08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rsid w:val="005A1AD1"/>
    <w:rPr>
      <w:b w:val="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59"/>
    <w:rsid w:val="005A1A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A1AD1"/>
    <w:pPr>
      <w:spacing w:after="200" w:line="276" w:lineRule="auto"/>
      <w:ind w:left="720"/>
      <w:jc w:val="left"/>
    </w:pPr>
    <w:rPr>
      <w:rFonts w:ascii="Calibri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0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0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uiPriority w:val="99"/>
    <w:rsid w:val="005A1AD1"/>
    <w:pPr>
      <w:spacing w:before="100" w:after="100"/>
      <w:jc w:val="left"/>
    </w:pPr>
    <w:rPr>
      <w:rFonts w:ascii="Calibri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hAnsi="Arial" w:cs="Arial"/>
      <w:b w:val="0"/>
      <w:szCs w:val="24"/>
    </w:rPr>
  </w:style>
  <w:style w:type="character" w:styleId="Enfasigrassetto">
    <w:name w:val="Strong"/>
    <w:basedOn w:val="Carpredefinitoparagrafo"/>
    <w:uiPriority w:val="22"/>
    <w:qFormat/>
    <w:rsid w:val="00C879A7"/>
    <w:rPr>
      <w:b/>
      <w:bCs/>
    </w:rPr>
  </w:style>
  <w:style w:type="paragraph" w:customStyle="1" w:styleId="Normale0">
    <w:name w:val="[Normale]"/>
    <w:rsid w:val="00B41B3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customStyle="1" w:styleId="TableNormal">
    <w:name w:val="Table Normal"/>
    <w:uiPriority w:val="2"/>
    <w:semiHidden/>
    <w:qFormat/>
    <w:rsid w:val="00D50C8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830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8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72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134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8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1055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7614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Dirigente</cp:lastModifiedBy>
  <cp:revision>3</cp:revision>
  <cp:lastPrinted>2018-11-08T08:31:00Z</cp:lastPrinted>
  <dcterms:created xsi:type="dcterms:W3CDTF">2019-06-24T08:42:00Z</dcterms:created>
  <dcterms:modified xsi:type="dcterms:W3CDTF">2019-06-26T14:33:00Z</dcterms:modified>
</cp:coreProperties>
</file>